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DD1" w:rsidRDefault="00686708">
      <w:pPr>
        <w:jc w:val="both"/>
        <w:rPr>
          <w:rFonts w:ascii="Arial" w:hAnsi="Arial"/>
          <w:b/>
          <w:lang w:val="sl-SI"/>
        </w:rPr>
      </w:pPr>
      <w:bookmarkStart w:id="0" w:name="_GoBack"/>
      <w:bookmarkEnd w:id="0"/>
      <w:r>
        <w:rPr>
          <w:rFonts w:ascii="Arial" w:hAnsi="Arial"/>
          <w:b/>
          <w:lang w:val="sl-SI"/>
        </w:rPr>
        <w:t>14.</w:t>
      </w:r>
    </w:p>
    <w:p w:rsidR="00923DD1" w:rsidRDefault="00686708">
      <w:pPr>
        <w:jc w:val="both"/>
        <w:rPr>
          <w:rFonts w:ascii="Arial" w:hAnsi="Arial"/>
          <w:lang w:val="sl-SI"/>
        </w:rPr>
      </w:pPr>
      <w:r>
        <w:rPr>
          <w:rFonts w:ascii="Arial" w:hAnsi="Arial"/>
          <w:lang w:val="sl-SI"/>
        </w:rPr>
        <w:t>Katalog:</w:t>
      </w:r>
    </w:p>
    <w:p w:rsidR="00923DD1" w:rsidRDefault="00686708">
      <w:pPr>
        <w:jc w:val="both"/>
        <w:rPr>
          <w:rFonts w:ascii="Arial" w:hAnsi="Arial"/>
          <w:lang w:val="sl-SI"/>
        </w:rPr>
      </w:pPr>
      <w:r>
        <w:rPr>
          <w:rFonts w:ascii="Arial" w:hAnsi="Arial"/>
          <w:lang w:val="sl-SI"/>
        </w:rPr>
        <w:t>-razsvetljenstvo                                                                       Berilo 1, str. 24</w:t>
      </w:r>
    </w:p>
    <w:p w:rsidR="00923DD1" w:rsidRDefault="00686708">
      <w:pPr>
        <w:jc w:val="both"/>
        <w:rPr>
          <w:rFonts w:ascii="Arial" w:hAnsi="Arial"/>
          <w:lang w:val="sl-SI"/>
        </w:rPr>
      </w:pPr>
      <w:r>
        <w:rPr>
          <w:rFonts w:ascii="Arial" w:hAnsi="Arial"/>
          <w:lang w:val="sl-SI"/>
        </w:rPr>
        <w:t>-poučnost, razumskost, optimizem, utilitarizem</w:t>
      </w:r>
    </w:p>
    <w:p w:rsidR="00923DD1" w:rsidRDefault="00923DD1">
      <w:pPr>
        <w:jc w:val="both"/>
        <w:rPr>
          <w:rFonts w:ascii="Arial" w:hAnsi="Arial"/>
          <w:lang w:val="sl-SI"/>
        </w:rPr>
      </w:pPr>
    </w:p>
    <w:p w:rsidR="00923DD1" w:rsidRDefault="00686708">
      <w:pPr>
        <w:pStyle w:val="Heading1"/>
        <w:jc w:val="both"/>
        <w:rPr>
          <w:sz w:val="20"/>
        </w:rPr>
      </w:pPr>
      <w:r>
        <w:rPr>
          <w:sz w:val="20"/>
        </w:rPr>
        <w:t>VALENTIN VODNIK : PESMA NA MOJE ROJAKE</w:t>
      </w:r>
    </w:p>
    <w:p w:rsidR="00923DD1" w:rsidRDefault="00923DD1">
      <w:pPr>
        <w:jc w:val="both"/>
        <w:rPr>
          <w:rFonts w:ascii="Arial" w:hAnsi="Arial"/>
          <w:b/>
          <w:lang w:val="sl-SI"/>
        </w:rPr>
      </w:pPr>
    </w:p>
    <w:p w:rsidR="00923DD1" w:rsidRDefault="00686708">
      <w:pPr>
        <w:pStyle w:val="Heading2"/>
        <w:jc w:val="both"/>
        <w:rPr>
          <w:sz w:val="20"/>
        </w:rPr>
      </w:pPr>
      <w:r>
        <w:rPr>
          <w:sz w:val="20"/>
        </w:rPr>
        <w:t>Razsvetljenstvo:</w:t>
      </w:r>
    </w:p>
    <w:p w:rsidR="00923DD1" w:rsidRDefault="00686708">
      <w:pPr>
        <w:pStyle w:val="BodyText"/>
        <w:jc w:val="both"/>
        <w:rPr>
          <w:sz w:val="20"/>
        </w:rPr>
      </w:pPr>
      <w:r>
        <w:rPr>
          <w:sz w:val="20"/>
        </w:rPr>
        <w:t xml:space="preserve">Razsvetljenci so bili ljudje, ki so znali s svobodnim razumom razmišljati o človeku, njegovih potrebah in koristih, sreči in načinih, kako jih doseči. Zato so kritizirali vse, kar nasprotuje človekovemu razumnemu življenju, da bo lahko res srečen. Med ovire razumnega življenja so šteli zlasti praznoverje, verski fanatizem, predsodke in zablode, pa tudi zastarele državne, družbene in verske oblike, fevdalizem, plemiške privilegije, samovoljno sodstvo, vojno itd. Za razglašanje svojih idej so uporabljali predvsem književnost, ki je bila zato izrazito idejna, tendenčna ali angažirana. V Evropi se je razsvetljenska književnost začela kmalu po letu 1700, pri Slovencih pa od 1768. leta, naprej, ko je Marko Pohlin izdal Kranjsko gramatiko, do leta 1819, ko umreta Zois in Vodnik. </w:t>
      </w:r>
    </w:p>
    <w:p w:rsidR="00923DD1" w:rsidRDefault="00923DD1">
      <w:pPr>
        <w:pStyle w:val="BodyText"/>
        <w:jc w:val="both"/>
        <w:rPr>
          <w:sz w:val="20"/>
        </w:rPr>
      </w:pPr>
    </w:p>
    <w:p w:rsidR="00923DD1" w:rsidRDefault="00686708">
      <w:pPr>
        <w:pStyle w:val="BodyText"/>
        <w:jc w:val="both"/>
        <w:rPr>
          <w:sz w:val="20"/>
          <w:u w:val="single"/>
        </w:rPr>
      </w:pPr>
      <w:r>
        <w:rPr>
          <w:sz w:val="20"/>
          <w:u w:val="single"/>
        </w:rPr>
        <w:t>Poučnost, razumskost, optimizem, utilitarizem:</w:t>
      </w:r>
    </w:p>
    <w:p w:rsidR="00923DD1" w:rsidRDefault="00686708">
      <w:pPr>
        <w:pStyle w:val="BodyText"/>
        <w:jc w:val="both"/>
        <w:rPr>
          <w:sz w:val="20"/>
        </w:rPr>
      </w:pPr>
      <w:r>
        <w:rPr>
          <w:sz w:val="20"/>
        </w:rPr>
        <w:t xml:space="preserve">V skladu s potrebami časa je Vodnik gojil v prvi vrsti spodbudno in poučno pesem za ljudstvo. Hotel je vplivati na delavnost, gospodarnost našega kmeta, obrtnika in delavca. Zato je prikazoval svet iz lepe strani, bahavo razkazoval bogastvo domovine ter skromnost, zadovoljnost, prihodnost, nadarjenost, državljanske in druge kreposti našega človeka. Želja po vzgojenosti je zameglila Vodniku pogled na resnično življenje Slovencev in težak socialni položaj slovenskega kmeta v tej dobi. Pesma na moje rojake je razsvetljenska budnica. V obliki nagovora vse Slovence (Kranjce) poziva k pametnemu, delovnemu, poštenemu življenju, ki jim bo prineslo blaginjo, zadovoljstvo in srečo. Pesem o življenju ne pozna hujših problemov, kar je v skladu z razsvetljenskim optimizmom. </w:t>
      </w:r>
    </w:p>
    <w:p w:rsidR="00923DD1" w:rsidRDefault="00686708">
      <w:pPr>
        <w:pStyle w:val="BodyText"/>
        <w:jc w:val="both"/>
        <w:rPr>
          <w:sz w:val="20"/>
        </w:rPr>
      </w:pPr>
      <w:r>
        <w:rPr>
          <w:sz w:val="20"/>
        </w:rPr>
        <w:sym w:font="Symbol" w:char="F0DE"/>
      </w:r>
      <w:r>
        <w:rPr>
          <w:sz w:val="20"/>
        </w:rPr>
        <w:t xml:space="preserve"> utilitarizem (lat. Utilis: koristen)</w:t>
      </w:r>
    </w:p>
    <w:p w:rsidR="00923DD1" w:rsidRDefault="00686708">
      <w:pPr>
        <w:pStyle w:val="BodyText"/>
        <w:jc w:val="both"/>
        <w:rPr>
          <w:sz w:val="20"/>
        </w:rPr>
      </w:pPr>
      <w:r>
        <w:rPr>
          <w:sz w:val="20"/>
        </w:rPr>
        <w:tab/>
        <w:t>Vodnik je videl smoter in cilj človekovega delovanja v koristi, blaginji in sreči bodisi posameznika, bodisi družbe.</w:t>
      </w:r>
    </w:p>
    <w:p w:rsidR="00923DD1" w:rsidRDefault="00923DD1">
      <w:pPr>
        <w:pStyle w:val="BodyText"/>
        <w:jc w:val="both"/>
        <w:rPr>
          <w:sz w:val="20"/>
        </w:rPr>
      </w:pPr>
    </w:p>
    <w:p w:rsidR="00923DD1" w:rsidRDefault="00686708">
      <w:pPr>
        <w:pStyle w:val="BodyText"/>
        <w:jc w:val="both"/>
        <w:rPr>
          <w:sz w:val="20"/>
        </w:rPr>
      </w:pPr>
      <w:r>
        <w:rPr>
          <w:sz w:val="20"/>
          <w:u w:val="single"/>
        </w:rPr>
        <w:t>Alpska poskočnica:</w:t>
      </w:r>
    </w:p>
    <w:p w:rsidR="00923DD1" w:rsidRDefault="00686708">
      <w:pPr>
        <w:pStyle w:val="BodyText"/>
        <w:jc w:val="both"/>
        <w:rPr>
          <w:sz w:val="20"/>
        </w:rPr>
      </w:pPr>
      <w:r>
        <w:rPr>
          <w:sz w:val="20"/>
        </w:rPr>
        <w:t>Iz petih pesmi sprejeta oblika verza in kitice, verz se giblje v plesnem ritmu s tričetrtinskim taktom. Priljubljena je bila na nemškem in slovenskem alpskem ozemlju, v slovenski literaturi, v ljudskem pesništvu in pri Valentinu Vodniku.</w:t>
      </w:r>
    </w:p>
    <w:p w:rsidR="00923DD1" w:rsidRDefault="00923DD1">
      <w:pPr>
        <w:pStyle w:val="BodyText"/>
        <w:jc w:val="both"/>
        <w:rPr>
          <w:sz w:val="20"/>
        </w:rPr>
      </w:pPr>
    </w:p>
    <w:p w:rsidR="00923DD1" w:rsidRDefault="00686708">
      <w:pPr>
        <w:pStyle w:val="BodyText"/>
        <w:jc w:val="both"/>
        <w:rPr>
          <w:sz w:val="20"/>
          <w:u w:val="single"/>
        </w:rPr>
      </w:pPr>
      <w:r>
        <w:rPr>
          <w:sz w:val="20"/>
          <w:u w:val="single"/>
        </w:rPr>
        <w:t>Metrična shema:</w:t>
      </w:r>
    </w:p>
    <w:p w:rsidR="00923DD1" w:rsidRDefault="00686708">
      <w:pPr>
        <w:pStyle w:val="BodyText"/>
        <w:jc w:val="both"/>
        <w:rPr>
          <w:sz w:val="20"/>
        </w:rPr>
      </w:pPr>
      <w:r>
        <w:rPr>
          <w:sz w:val="20"/>
        </w:rPr>
        <w:t>Običajna kitica je iz štirih amfibraških verzov. Amfibrah: trizložna stopica; naglašen zlog oklepata dva nenaglašebna.</w:t>
      </w:r>
    </w:p>
    <w:p w:rsidR="00923DD1" w:rsidRDefault="00923DD1">
      <w:pPr>
        <w:pStyle w:val="BodyText"/>
        <w:jc w:val="both"/>
        <w:rPr>
          <w:sz w:val="20"/>
        </w:rPr>
      </w:pPr>
    </w:p>
    <w:p w:rsidR="00923DD1" w:rsidRDefault="00686708">
      <w:pPr>
        <w:pStyle w:val="BodyText"/>
        <w:jc w:val="both"/>
        <w:rPr>
          <w:sz w:val="20"/>
        </w:rPr>
      </w:pPr>
      <w:r>
        <w:rPr>
          <w:sz w:val="20"/>
        </w:rPr>
        <w:t>U – UU – UU – U</w:t>
      </w:r>
    </w:p>
    <w:p w:rsidR="00923DD1" w:rsidRDefault="00686708">
      <w:pPr>
        <w:pStyle w:val="BodyText"/>
        <w:jc w:val="both"/>
        <w:rPr>
          <w:sz w:val="20"/>
        </w:rPr>
      </w:pPr>
      <w:r>
        <w:rPr>
          <w:sz w:val="20"/>
        </w:rPr>
        <w:t>U – UU – UU – U</w:t>
      </w:r>
    </w:p>
    <w:p w:rsidR="00923DD1" w:rsidRDefault="00686708">
      <w:pPr>
        <w:pStyle w:val="BodyText"/>
        <w:numPr>
          <w:ilvl w:val="0"/>
          <w:numId w:val="1"/>
        </w:numPr>
        <w:jc w:val="both"/>
        <w:rPr>
          <w:sz w:val="20"/>
        </w:rPr>
      </w:pPr>
      <w:r>
        <w:rPr>
          <w:sz w:val="20"/>
        </w:rPr>
        <w:t>UU –U</w:t>
      </w:r>
    </w:p>
    <w:p w:rsidR="00923DD1" w:rsidRDefault="00686708">
      <w:pPr>
        <w:pStyle w:val="BodyText"/>
        <w:numPr>
          <w:ilvl w:val="0"/>
          <w:numId w:val="1"/>
        </w:numPr>
        <w:jc w:val="both"/>
        <w:rPr>
          <w:sz w:val="20"/>
        </w:rPr>
      </w:pPr>
      <w:r>
        <w:rPr>
          <w:sz w:val="20"/>
        </w:rPr>
        <w:t xml:space="preserve">UU – </w:t>
      </w:r>
    </w:p>
    <w:p w:rsidR="00923DD1" w:rsidRDefault="00686708">
      <w:pPr>
        <w:pStyle w:val="BodyText"/>
        <w:numPr>
          <w:ilvl w:val="0"/>
          <w:numId w:val="1"/>
        </w:numPr>
        <w:jc w:val="both"/>
        <w:rPr>
          <w:sz w:val="20"/>
        </w:rPr>
      </w:pPr>
      <w:r>
        <w:rPr>
          <w:sz w:val="20"/>
        </w:rPr>
        <w:t>UU – U</w:t>
      </w:r>
    </w:p>
    <w:p w:rsidR="00923DD1" w:rsidRDefault="00686708">
      <w:pPr>
        <w:pStyle w:val="BodyText"/>
        <w:numPr>
          <w:ilvl w:val="0"/>
          <w:numId w:val="1"/>
        </w:numPr>
        <w:jc w:val="both"/>
        <w:rPr>
          <w:sz w:val="20"/>
        </w:rPr>
      </w:pPr>
      <w:r>
        <w:rPr>
          <w:sz w:val="20"/>
        </w:rPr>
        <w:t>UU –</w:t>
      </w:r>
    </w:p>
    <w:p w:rsidR="00923DD1" w:rsidRDefault="00923DD1">
      <w:pPr>
        <w:pStyle w:val="BodyText"/>
        <w:jc w:val="both"/>
        <w:rPr>
          <w:sz w:val="20"/>
        </w:rPr>
      </w:pPr>
    </w:p>
    <w:p w:rsidR="00923DD1" w:rsidRDefault="00686708">
      <w:pPr>
        <w:pStyle w:val="BodyText"/>
        <w:jc w:val="both"/>
        <w:rPr>
          <w:sz w:val="20"/>
          <w:u w:val="single"/>
        </w:rPr>
      </w:pPr>
      <w:r>
        <w:rPr>
          <w:sz w:val="20"/>
          <w:u w:val="single"/>
        </w:rPr>
        <w:t>Metonimija – sinekdoha:</w:t>
      </w:r>
    </w:p>
    <w:p w:rsidR="00923DD1" w:rsidRDefault="00923DD1">
      <w:pPr>
        <w:pStyle w:val="BodyText"/>
        <w:jc w:val="both"/>
        <w:rPr>
          <w:sz w:val="20"/>
        </w:rPr>
      </w:pPr>
    </w:p>
    <w:p w:rsidR="00923DD1" w:rsidRDefault="00686708">
      <w:pPr>
        <w:pStyle w:val="BodyText"/>
        <w:jc w:val="both"/>
        <w:rPr>
          <w:sz w:val="20"/>
        </w:rPr>
      </w:pPr>
      <w:r>
        <w:rPr>
          <w:sz w:val="20"/>
        </w:rPr>
        <w:sym w:font="Symbol" w:char="F0DE"/>
      </w:r>
      <w:r>
        <w:rPr>
          <w:sz w:val="20"/>
          <w:u w:val="single"/>
        </w:rPr>
        <w:t xml:space="preserve">Metonimija </w:t>
      </w:r>
      <w:r>
        <w:rPr>
          <w:sz w:val="20"/>
        </w:rPr>
        <w:t>(gr. “preimenovanja, zamenjava imen”), retorična figura: besedo ali besedno zvezo nadomesti druga beseda ali besedna zveza, med obema – nadomestujočo in nadomeščeno – obstaja pomenska zveza, ki je kakovostne narave, npr. vzrok – posledica, abstraktno – konkretno.</w:t>
      </w:r>
    </w:p>
    <w:p w:rsidR="00923DD1" w:rsidRDefault="00923DD1">
      <w:pPr>
        <w:pStyle w:val="BodyText"/>
        <w:jc w:val="both"/>
        <w:rPr>
          <w:sz w:val="20"/>
        </w:rPr>
      </w:pPr>
    </w:p>
    <w:p w:rsidR="00923DD1" w:rsidRDefault="00686708">
      <w:pPr>
        <w:pStyle w:val="BodyText"/>
        <w:jc w:val="both"/>
        <w:rPr>
          <w:sz w:val="20"/>
        </w:rPr>
      </w:pPr>
      <w:r>
        <w:rPr>
          <w:sz w:val="20"/>
        </w:rPr>
        <w:t>Primer:</w:t>
      </w:r>
      <w:r>
        <w:rPr>
          <w:sz w:val="20"/>
        </w:rPr>
        <w:tab/>
      </w:r>
      <w:r>
        <w:rPr>
          <w:sz w:val="20"/>
        </w:rPr>
        <w:tab/>
        <w:t>“Polje, vinograd</w:t>
      </w:r>
    </w:p>
    <w:p w:rsidR="00923DD1" w:rsidRDefault="00686708">
      <w:pPr>
        <w:pStyle w:val="BodyText"/>
        <w:ind w:left="720" w:firstLine="720"/>
        <w:jc w:val="both"/>
        <w:rPr>
          <w:sz w:val="20"/>
        </w:rPr>
      </w:pPr>
      <w:r>
        <w:rPr>
          <w:sz w:val="20"/>
        </w:rPr>
        <w:t>Gora, morje,</w:t>
      </w:r>
    </w:p>
    <w:p w:rsidR="00923DD1" w:rsidRDefault="00686708">
      <w:pPr>
        <w:pStyle w:val="BodyText"/>
        <w:ind w:left="720" w:firstLine="720"/>
        <w:jc w:val="both"/>
        <w:rPr>
          <w:sz w:val="20"/>
        </w:rPr>
      </w:pPr>
      <w:r>
        <w:rPr>
          <w:sz w:val="20"/>
        </w:rPr>
        <w:t>Ruda, kupčija,</w:t>
      </w:r>
    </w:p>
    <w:p w:rsidR="00923DD1" w:rsidRDefault="00686708">
      <w:pPr>
        <w:pStyle w:val="BodyText"/>
        <w:ind w:left="720" w:firstLine="720"/>
        <w:jc w:val="both"/>
        <w:rPr>
          <w:sz w:val="20"/>
        </w:rPr>
      </w:pPr>
      <w:r>
        <w:rPr>
          <w:sz w:val="20"/>
        </w:rPr>
        <w:t>Tebe rede”</w:t>
      </w:r>
    </w:p>
    <w:p w:rsidR="00923DD1" w:rsidRDefault="00923DD1">
      <w:pPr>
        <w:pStyle w:val="BodyText"/>
        <w:jc w:val="both"/>
        <w:rPr>
          <w:sz w:val="20"/>
        </w:rPr>
      </w:pPr>
    </w:p>
    <w:p w:rsidR="00923DD1" w:rsidRDefault="00923DD1">
      <w:pPr>
        <w:pStyle w:val="BodyText"/>
        <w:jc w:val="both"/>
        <w:rPr>
          <w:sz w:val="20"/>
        </w:rPr>
      </w:pPr>
    </w:p>
    <w:p w:rsidR="00923DD1" w:rsidRDefault="00686708">
      <w:pPr>
        <w:jc w:val="both"/>
        <w:rPr>
          <w:rFonts w:ascii="Arial" w:hAnsi="Arial"/>
        </w:rPr>
      </w:pPr>
      <w:r>
        <w:rPr>
          <w:rFonts w:ascii="Arial" w:hAnsi="Arial"/>
        </w:rPr>
        <w:sym w:font="Symbol" w:char="F0DE"/>
      </w:r>
      <w:r>
        <w:rPr>
          <w:rFonts w:ascii="Arial" w:hAnsi="Arial"/>
          <w:u w:val="single"/>
        </w:rPr>
        <w:t>Sinekdoha</w:t>
      </w:r>
      <w:r>
        <w:rPr>
          <w:rFonts w:ascii="Arial" w:hAnsi="Arial"/>
        </w:rPr>
        <w:t xml:space="preserve"> (gr. “soprevzetje”), retorična figura: besedo ali besedno zvezo nadomesti druga beseda ali besedna zveza, med obema - nadomestujočo in nadomeščeno – obstaja pomenska zveza, ki je količinske narave, npr. del – celota, rod- vrsta, snov – izdelek, ednina – množina.</w:t>
      </w:r>
    </w:p>
    <w:p w:rsidR="00923DD1" w:rsidRDefault="00923DD1">
      <w:pPr>
        <w:jc w:val="both"/>
        <w:rPr>
          <w:rFonts w:ascii="Arial" w:hAnsi="Arial"/>
        </w:rPr>
      </w:pPr>
    </w:p>
    <w:p w:rsidR="00923DD1" w:rsidRDefault="00686708">
      <w:pPr>
        <w:pStyle w:val="Heading3"/>
        <w:jc w:val="both"/>
        <w:rPr>
          <w:sz w:val="20"/>
        </w:rPr>
      </w:pPr>
      <w:r>
        <w:rPr>
          <w:sz w:val="20"/>
        </w:rPr>
        <w:t>Primer: “Kranjc! Tvoja zemla je zdrava, …”</w:t>
      </w:r>
    </w:p>
    <w:p w:rsidR="00923DD1" w:rsidRDefault="00686708">
      <w:pPr>
        <w:jc w:val="both"/>
        <w:rPr>
          <w:rFonts w:ascii="Arial" w:hAnsi="Arial"/>
        </w:rPr>
      </w:pPr>
      <w:r>
        <w:rPr>
          <w:rFonts w:ascii="Arial" w:hAnsi="Arial"/>
        </w:rPr>
        <w:t>Kranjc je mišljeno za vse Kranjce oz. Slovence. (del – celota)</w:t>
      </w:r>
    </w:p>
    <w:sectPr w:rsidR="00923DD1">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B5719"/>
    <w:multiLevelType w:val="singleLevel"/>
    <w:tmpl w:val="2EBA05F0"/>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6708"/>
    <w:rsid w:val="00043CAD"/>
    <w:rsid w:val="00686708"/>
    <w:rsid w:val="00923D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qFormat/>
    <w:pPr>
      <w:keepNext/>
      <w:outlineLvl w:val="0"/>
    </w:pPr>
    <w:rPr>
      <w:rFonts w:ascii="Arial" w:hAnsi="Arial"/>
      <w:b/>
      <w:sz w:val="24"/>
      <w:lang w:val="sl-SI"/>
    </w:rPr>
  </w:style>
  <w:style w:type="paragraph" w:styleId="Heading2">
    <w:name w:val="heading 2"/>
    <w:basedOn w:val="Normal"/>
    <w:next w:val="Normal"/>
    <w:qFormat/>
    <w:pPr>
      <w:keepNext/>
      <w:outlineLvl w:val="1"/>
    </w:pPr>
    <w:rPr>
      <w:rFonts w:ascii="Arial" w:hAnsi="Arial"/>
      <w:sz w:val="24"/>
      <w:u w:val="single"/>
      <w:lang w:val="sl-SI"/>
    </w:rPr>
  </w:style>
  <w:style w:type="paragraph" w:styleId="Heading3">
    <w:name w:val="heading 3"/>
    <w:basedOn w:val="Normal"/>
    <w:next w:val="Normal"/>
    <w:qFormat/>
    <w:pPr>
      <w:keepNext/>
      <w:jc w:val="center"/>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2712</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