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D6C" w:rsidRDefault="00B363DD">
      <w:pPr>
        <w:jc w:val="center"/>
        <w:rPr>
          <w:b/>
          <w:i/>
          <w:sz w:val="40"/>
          <w:u w:val="single"/>
        </w:rPr>
      </w:pPr>
      <w:bookmarkStart w:id="0" w:name="_GoBack"/>
      <w:bookmarkEnd w:id="0"/>
      <w:r>
        <w:rPr>
          <w:b/>
          <w:i/>
          <w:sz w:val="40"/>
          <w:u w:val="single"/>
        </w:rPr>
        <w:t>Barok na Slovenskem</w:t>
      </w:r>
    </w:p>
    <w:p w:rsidR="00C46D6C" w:rsidRDefault="00C46D6C">
      <w:pPr>
        <w:jc w:val="both"/>
        <w:rPr>
          <w:sz w:val="24"/>
        </w:rPr>
      </w:pPr>
    </w:p>
    <w:p w:rsidR="00C46D6C" w:rsidRDefault="00B363DD">
      <w:pPr>
        <w:jc w:val="both"/>
        <w:rPr>
          <w:sz w:val="24"/>
        </w:rPr>
      </w:pPr>
      <w:r>
        <w:rPr>
          <w:sz w:val="24"/>
        </w:rPr>
        <w:tab/>
        <w:t xml:space="preserve">Zažetek glasbenega baroka na Slovenskem sovpada z nastopom protireformacije, ki je na široko odprla vrata v it. glasbi. Njegov prodor izpričuje že spisek muzikalij iz 1620 </w:t>
      </w:r>
      <w:r>
        <w:rPr>
          <w:i/>
          <w:sz w:val="24"/>
        </w:rPr>
        <w:t>Inventarium Librorum Musicallium;</w:t>
      </w:r>
      <w:r>
        <w:rPr>
          <w:sz w:val="24"/>
        </w:rPr>
        <w:t xml:space="preserve"> zanj je značilen poudarek na zgodnje baročnih it.  delih. Kar kaže, da se je nova smer sprva uveljavila na reproduktivnem području. Skladatelji, ki so bili slvenskega rodu alo so izhajali s slovenskega etničnega ozemlja, so v tem času delovali v tujini: G. Plavec, kapelnik nadškofa  v Mainzu, in D.Lackner Loosdorfu na Nižjem Avstrijskem, sta bila še precej vezana na traditcijo poznerenesance, čeprav so pri prvem že razločni elementi zgodnje monodije. S svojimi variacijskimi suitami in solištičnimi cerkvenimi koncerti je že izraziteje zgodnjebaročno usmerjen I. Poš (</w:t>
      </w:r>
      <w:r>
        <w:rPr>
          <w:i/>
          <w:sz w:val="24"/>
        </w:rPr>
        <w:t>Musicalische Ehrnfreudt</w:t>
      </w:r>
      <w:r>
        <w:rPr>
          <w:sz w:val="24"/>
        </w:rPr>
        <w:t xml:space="preserve">, 1618; </w:t>
      </w:r>
      <w:r>
        <w:rPr>
          <w:i/>
          <w:sz w:val="24"/>
        </w:rPr>
        <w:t>Musicalische Tafelfreudt</w:t>
      </w:r>
      <w:r>
        <w:rPr>
          <w:sz w:val="24"/>
        </w:rPr>
        <w:t xml:space="preserve">, 1621; </w:t>
      </w:r>
      <w:r>
        <w:rPr>
          <w:i/>
          <w:sz w:val="24"/>
        </w:rPr>
        <w:t>Harmonia concertans</w:t>
      </w:r>
      <w:r>
        <w:rPr>
          <w:sz w:val="24"/>
        </w:rPr>
        <w:t xml:space="preserve">, 1623), organist koroških deželnih stanov v Celovcu, ki pa je bil neposredneje povezan z glasbenim delom na Slovenskem. </w:t>
      </w:r>
    </w:p>
    <w:p w:rsidR="00C46D6C" w:rsidRDefault="00B363DD">
      <w:pPr>
        <w:jc w:val="both"/>
      </w:pPr>
      <w:r>
        <w:tab/>
        <w:t>Poleg glasbene kapele ljubljanskega škofa je bil razvoj baroka važen jezuitski kolegij v Ljubljnani s svojim gledališčem ( Jezuitsko gledališče) in cerkvijo sv. Jakoba. V jezuitskih predstavah je imela značilno vlogo glasba, ki je bila od konca 17.stoletja pod vplivom it. opere. Komponirali so jo tudi domači skladatelji, npr. J.J. Hočevar, M.Čadež, v času svojega krajšega delovanja v Ljubljani pa verjetno tudi J.K. Dolar (</w:t>
      </w:r>
      <w:r>
        <w:rPr>
          <w:i/>
        </w:rPr>
        <w:t>Missa Viennensis, Missa villana,</w:t>
      </w:r>
      <w:r>
        <w:t xml:space="preserve"> </w:t>
      </w:r>
      <w:r>
        <w:rPr>
          <w:i/>
        </w:rPr>
        <w:t>Missa sopra la Bergamasca</w:t>
      </w:r>
      <w:r>
        <w:t xml:space="preserve">), najpomembnejši skladatelj, ki je izšel iz jezuitskega kolegija. Še bolj kot jezuitske igre so pospeševale vzpon glasbenega baroka in tako operne predstave, ki so se v Ljubljani začele 1660. Iz repertoarja predstav, ki so bile 1740 pogostejše, je razvidno, da je bila sprva aktualna </w:t>
      </w:r>
      <w:r>
        <w:rPr>
          <w:i/>
        </w:rPr>
        <w:t>opera seria</w:t>
      </w:r>
      <w:r>
        <w:t xml:space="preserve"> napolitanske smeri, že od 1757 pa komična opera. Zgledi zahodnih sosedov so kmalu spodbudili glasbenodramatsko ustvarjalnost domačih skladateljev, ki so posnemali tako imenovano operno produkcijo. To dokazuje opera Il Tamerlano (1732), ki je ohranjena v besedilu, skladatelja G.C. Bonomija, kapelnika kranjskega vicedoma F.A.S. Thurna. </w:t>
      </w:r>
    </w:p>
    <w:p w:rsidR="00C46D6C" w:rsidRDefault="00B363DD">
      <w:pPr>
        <w:jc w:val="both"/>
      </w:pPr>
      <w:r>
        <w:tab/>
        <w:t>Ko je na začetku 18. stoletja prešel glasbeni barok na Slovenskem v svojo pozno in najbolj intenzivno fazo, je bila v prvih 3 desetletjih njegovo žarišče&gt; Academia philharmonicorum, ki je stilno odločno usmerila v it. b., njemo močno prizadevanje na reproduktivnem področju pa je pospešilo glasbeno ustvarjanje. Med skladatelji iz njenega kroga so bili J.B Hoffer, J.G. Goschell in V.K.A. Siberau. Iz skopih podatkov o njihovem ustvarjanju je mogoče razbrati, da so pisali duhovne in posvetne skladbe. tj. vokalno-instrumentalna, orkestralna in komorna dela (maše, Kantate, oratoriji, sonate, suite). Zlasti pomemben je oratorij, katerega prvi oblikovalec je bil Hoffer (</w:t>
      </w:r>
      <w:r>
        <w:rPr>
          <w:i/>
        </w:rPr>
        <w:t>Magdalenae Conversio</w:t>
      </w:r>
      <w:r>
        <w:t xml:space="preserve">, 1715; </w:t>
      </w:r>
      <w:r>
        <w:rPr>
          <w:i/>
        </w:rPr>
        <w:t>Mors et vita</w:t>
      </w:r>
      <w:r>
        <w:t xml:space="preserve">. 1715; </w:t>
      </w:r>
      <w:r>
        <w:rPr>
          <w:i/>
        </w:rPr>
        <w:t>Patientia victrix</w:t>
      </w:r>
      <w:r>
        <w:t xml:space="preserve"> in </w:t>
      </w:r>
      <w:r>
        <w:rPr>
          <w:i/>
        </w:rPr>
        <w:t>Amico Job</w:t>
      </w:r>
      <w:r>
        <w:t>, 1716) pa tudi M.Omerza(</w:t>
      </w:r>
      <w:r>
        <w:rPr>
          <w:i/>
        </w:rPr>
        <w:t>Christus bajulans crucem</w:t>
      </w:r>
      <w:r>
        <w:t>, 1712) in J.Kurold.</w:t>
      </w:r>
    </w:p>
    <w:sectPr w:rsidR="00C46D6C">
      <w:footnotePr>
        <w:pos w:val="beneathText"/>
      </w:footnotePr>
      <w:pgSz w:w="11905" w:h="16837"/>
      <w:pgMar w:top="1701" w:right="1134" w:bottom="226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3DD"/>
    <w:rsid w:val="00B34316"/>
    <w:rsid w:val="00B363DD"/>
    <w:rsid w:val="00C46D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