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C99" w:rsidRDefault="0079543E" w:rsidP="00461C99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     </w:t>
      </w:r>
    </w:p>
    <w:p w:rsidR="00461C99" w:rsidRPr="00461C99" w:rsidRDefault="00461C99" w:rsidP="00461C99">
      <w:pPr>
        <w:rPr>
          <w:sz w:val="40"/>
          <w:szCs w:val="40"/>
        </w:rPr>
      </w:pPr>
      <w:r w:rsidRPr="00461C99">
        <w:rPr>
          <w:sz w:val="40"/>
          <w:szCs w:val="40"/>
        </w:rPr>
        <w:t xml:space="preserve">                  Primož Trubar</w:t>
      </w:r>
    </w:p>
    <w:p w:rsidR="00461C99" w:rsidRPr="00461C99" w:rsidRDefault="00461C99" w:rsidP="00461C99">
      <w:pPr>
        <w:rPr>
          <w:color w:val="000000"/>
          <w:sz w:val="36"/>
          <w:szCs w:val="36"/>
        </w:rPr>
      </w:pPr>
      <w:r>
        <w:rPr>
          <w:sz w:val="36"/>
          <w:szCs w:val="36"/>
        </w:rPr>
        <w:t xml:space="preserve">                        (</w:t>
      </w:r>
      <w:r w:rsidRPr="00461C99">
        <w:rPr>
          <w:b/>
          <w:bCs/>
          <w:i/>
          <w:iCs/>
          <w:color w:val="000000"/>
          <w:sz w:val="28"/>
        </w:rPr>
        <w:t>1508-1589</w:t>
      </w:r>
      <w:r>
        <w:rPr>
          <w:b/>
          <w:bCs/>
          <w:i/>
          <w:iCs/>
          <w:color w:val="000000"/>
          <w:sz w:val="28"/>
        </w:rPr>
        <w:t>)</w:t>
      </w:r>
    </w:p>
    <w:p w:rsidR="0079543E" w:rsidRPr="00461C99" w:rsidRDefault="0079543E">
      <w:pPr>
        <w:rPr>
          <w:sz w:val="36"/>
          <w:szCs w:val="36"/>
        </w:rPr>
      </w:pPr>
    </w:p>
    <w:p w:rsidR="0079543E" w:rsidRPr="0079543E" w:rsidRDefault="0079543E">
      <w:pPr>
        <w:rPr>
          <w:sz w:val="28"/>
          <w:szCs w:val="28"/>
        </w:rPr>
      </w:pPr>
      <w:r w:rsidRPr="0079543E">
        <w:rPr>
          <w:sz w:val="28"/>
          <w:szCs w:val="28"/>
        </w:rPr>
        <w:t>Primož Trubar se je rodil na Rašici pri Velikih Laščah, junija leta 1508.Je začetnik Slovenskega knjižnega jezika in naš prvi pisatelj.Njegov oče je bil podložnik Turjačanov in cerkveni ključar.</w:t>
      </w:r>
    </w:p>
    <w:p w:rsidR="00843EE9" w:rsidRDefault="0079543E">
      <w:pPr>
        <w:rPr>
          <w:sz w:val="28"/>
          <w:szCs w:val="28"/>
        </w:rPr>
      </w:pPr>
      <w:r w:rsidRPr="0079543E">
        <w:rPr>
          <w:sz w:val="28"/>
          <w:szCs w:val="28"/>
        </w:rPr>
        <w:t xml:space="preserve">Trubar se je šolal </w:t>
      </w:r>
      <w:r w:rsidR="00843EE9">
        <w:rPr>
          <w:sz w:val="28"/>
          <w:szCs w:val="28"/>
        </w:rPr>
        <w:t xml:space="preserve">na </w:t>
      </w:r>
      <w:r w:rsidRPr="0079543E">
        <w:rPr>
          <w:sz w:val="28"/>
          <w:szCs w:val="28"/>
        </w:rPr>
        <w:t>Reki, Salzburgu, pri škofu Bonomu in na Dunaju</w:t>
      </w:r>
      <w:r>
        <w:rPr>
          <w:sz w:val="32"/>
          <w:szCs w:val="32"/>
        </w:rPr>
        <w:t>.</w:t>
      </w:r>
      <w:r w:rsidRPr="0079543E">
        <w:rPr>
          <w:sz w:val="28"/>
          <w:szCs w:val="28"/>
        </w:rPr>
        <w:t>leta 1530 je bil posvečen za duhovnika</w:t>
      </w:r>
      <w:r w:rsidRPr="00843EE9">
        <w:rPr>
          <w:sz w:val="28"/>
          <w:szCs w:val="28"/>
        </w:rPr>
        <w:t>.</w:t>
      </w:r>
    </w:p>
    <w:p w:rsidR="0079543E" w:rsidRDefault="00843EE9">
      <w:pPr>
        <w:rPr>
          <w:color w:val="000000"/>
          <w:sz w:val="28"/>
          <w:szCs w:val="28"/>
        </w:rPr>
      </w:pPr>
      <w:r w:rsidRPr="00843EE9">
        <w:rPr>
          <w:b/>
          <w:bCs/>
          <w:color w:val="000000"/>
          <w:sz w:val="28"/>
          <w:szCs w:val="28"/>
        </w:rPr>
        <w:t xml:space="preserve"> </w:t>
      </w:r>
      <w:r w:rsidRPr="00843EE9">
        <w:rPr>
          <w:bCs/>
          <w:color w:val="000000"/>
          <w:sz w:val="28"/>
          <w:szCs w:val="28"/>
        </w:rPr>
        <w:t>Ko je Trubarju bilo 12 let, je odšel z doma. Sprva se je eno leto šolal na Reki, kasneje dve leti v Salzburgu, kjer se je preživljal s cerkvenim petjem. Zatem je odšel v Trst, kjer je postal vodja pevskega zbora v tamkajšnji stolnici in spoznal škofa Petra Bonoma.</w:t>
      </w:r>
      <w:r w:rsidRPr="00843EE9">
        <w:rPr>
          <w:color w:val="000000"/>
          <w:sz w:val="28"/>
          <w:szCs w:val="28"/>
        </w:rPr>
        <w:t xml:space="preserve"> Postal je njegov osebni strežnik oziroma komornik. Na Bonomovem dvoru je bil Primož deležen osnove klasične izobrazbe</w:t>
      </w:r>
      <w:r w:rsidR="003807ED">
        <w:rPr>
          <w:color w:val="000000"/>
          <w:sz w:val="28"/>
          <w:szCs w:val="28"/>
        </w:rPr>
        <w:t>.</w:t>
      </w:r>
      <w:r w:rsidRPr="00843EE9">
        <w:rPr>
          <w:color w:val="000000"/>
          <w:sz w:val="28"/>
          <w:szCs w:val="28"/>
        </w:rPr>
        <w:t xml:space="preserve"> Škof Bonomo je Primoža izredno cenil in mu je že pri devetnajstih predal župnijo Loka pri Zidanem mostu. </w:t>
      </w:r>
    </w:p>
    <w:p w:rsidR="00BE2E0D" w:rsidRPr="00BE2E0D" w:rsidRDefault="006A360D" w:rsidP="00BE2E0D">
      <w:pPr>
        <w:spacing w:after="120"/>
        <w:rPr>
          <w:color w:val="000000"/>
          <w:sz w:val="28"/>
          <w:szCs w:val="28"/>
        </w:rPr>
      </w:pPr>
      <w:r w:rsidRPr="006A360D">
        <w:rPr>
          <w:color w:val="000000"/>
          <w:sz w:val="28"/>
          <w:szCs w:val="28"/>
        </w:rPr>
        <w:t xml:space="preserve">Leta 1535  je Trubar prišel v Ljubljano. V svojih pridigah je grajal napake Cerkve, zato je moral zbežati s Kranjskega v Nemčijo, kjer se je odpovedal katoliški veri. Kljub delovanju na tujem ni pozabil na svoje »ljube Slovence«. Kot Luther se je zavedel, da je najboljše učenje vere Sveto pismo v domačem jeziku. Leta 1550 je izdal </w:t>
      </w:r>
      <w:r w:rsidRPr="006A360D">
        <w:rPr>
          <w:rStyle w:val="Strong"/>
          <w:color w:val="000000"/>
          <w:sz w:val="28"/>
          <w:szCs w:val="28"/>
        </w:rPr>
        <w:t>Katekizem</w:t>
      </w:r>
      <w:r w:rsidR="00BE2E0D">
        <w:t xml:space="preserve">(244 strani) </w:t>
      </w:r>
      <w:r w:rsidRPr="006A360D">
        <w:rPr>
          <w:rStyle w:val="Strong"/>
          <w:color w:val="000000"/>
          <w:sz w:val="28"/>
          <w:szCs w:val="28"/>
        </w:rPr>
        <w:t xml:space="preserve"> in Abecednik</w:t>
      </w:r>
      <w:r w:rsidRPr="006A360D">
        <w:rPr>
          <w:color w:val="000000"/>
          <w:sz w:val="28"/>
          <w:szCs w:val="28"/>
        </w:rPr>
        <w:t xml:space="preserve"> (prvi slovenski tiskani knjigi).</w:t>
      </w:r>
      <w:r w:rsidR="00BE2E0D" w:rsidRPr="00BE2E0D">
        <w:rPr>
          <w:rFonts w:ascii="BettysHand" w:hAnsi="BettysHand" w:cs="Arial"/>
          <w:sz w:val="28"/>
          <w:szCs w:val="28"/>
        </w:rPr>
        <w:t xml:space="preserve"> </w:t>
      </w:r>
      <w:r w:rsidR="00BE2E0D" w:rsidRPr="00964FF6">
        <w:rPr>
          <w:rFonts w:ascii="BettysHand" w:hAnsi="BettysHand" w:cs="Arial"/>
          <w:sz w:val="28"/>
          <w:szCs w:val="28"/>
        </w:rPr>
        <w:t xml:space="preserve">Katekizem vsebuje nekatera pojasnilna poglavja iz protestantskih naukov, šest </w:t>
      </w:r>
      <w:hyperlink r:id="rId5" w:tooltip="Pesem" w:history="1">
        <w:r w:rsidR="00BE2E0D" w:rsidRPr="00BE2E0D">
          <w:rPr>
            <w:rStyle w:val="Hyperlink"/>
            <w:rFonts w:ascii="BettysHand" w:hAnsi="BettysHand" w:cs="Arial"/>
            <w:color w:val="000000"/>
            <w:sz w:val="28"/>
            <w:szCs w:val="28"/>
          </w:rPr>
          <w:t>pesmi</w:t>
        </w:r>
      </w:hyperlink>
      <w:r w:rsidR="00BE2E0D" w:rsidRPr="00BE2E0D">
        <w:rPr>
          <w:rFonts w:ascii="BettysHand" w:hAnsi="BettysHand" w:cs="Arial"/>
          <w:color w:val="000000"/>
          <w:sz w:val="28"/>
          <w:szCs w:val="28"/>
        </w:rPr>
        <w:t xml:space="preserve">, dve </w:t>
      </w:r>
      <w:hyperlink r:id="rId6" w:tooltip="Molitev" w:history="1">
        <w:r w:rsidR="00BE2E0D" w:rsidRPr="00BE2E0D">
          <w:rPr>
            <w:rStyle w:val="Hyperlink"/>
            <w:rFonts w:ascii="BettysHand" w:hAnsi="BettysHand" w:cs="Arial"/>
            <w:color w:val="000000"/>
            <w:sz w:val="28"/>
            <w:szCs w:val="28"/>
          </w:rPr>
          <w:t>molitvi</w:t>
        </w:r>
      </w:hyperlink>
      <w:r w:rsidR="00BE2E0D" w:rsidRPr="00BE2E0D">
        <w:rPr>
          <w:rFonts w:ascii="BettysHand" w:hAnsi="BettysHand" w:cs="Arial"/>
          <w:color w:val="000000"/>
          <w:sz w:val="28"/>
          <w:szCs w:val="28"/>
        </w:rPr>
        <w:t xml:space="preserve"> in </w:t>
      </w:r>
      <w:hyperlink r:id="rId7" w:tooltip="Pridiga" w:history="1">
        <w:r w:rsidR="00BE2E0D" w:rsidRPr="00BE2E0D">
          <w:rPr>
            <w:rStyle w:val="Hyperlink"/>
            <w:rFonts w:ascii="BettysHand" w:hAnsi="BettysHand" w:cs="Arial"/>
            <w:color w:val="000000"/>
            <w:sz w:val="28"/>
            <w:szCs w:val="28"/>
          </w:rPr>
          <w:t>pridigo</w:t>
        </w:r>
      </w:hyperlink>
      <w:r w:rsidR="00BE2E0D" w:rsidRPr="00BE2E0D">
        <w:rPr>
          <w:rFonts w:ascii="BettysHand" w:hAnsi="BettysHand" w:cs="Arial"/>
          <w:color w:val="000000"/>
          <w:sz w:val="28"/>
          <w:szCs w:val="28"/>
        </w:rPr>
        <w:t xml:space="preserve"> o </w:t>
      </w:r>
      <w:hyperlink r:id="rId8" w:tooltip="Vera" w:history="1">
        <w:r w:rsidR="00BE2E0D" w:rsidRPr="00BE2E0D">
          <w:rPr>
            <w:rStyle w:val="Hyperlink"/>
            <w:rFonts w:ascii="BettysHand" w:hAnsi="BettysHand" w:cs="Arial"/>
            <w:color w:val="000000"/>
            <w:sz w:val="28"/>
            <w:szCs w:val="28"/>
          </w:rPr>
          <w:t>veri</w:t>
        </w:r>
      </w:hyperlink>
      <w:r w:rsidR="00BE2E0D" w:rsidRPr="00BE2E0D">
        <w:rPr>
          <w:rFonts w:ascii="BettysHand" w:hAnsi="BettysHand" w:cs="Arial"/>
          <w:color w:val="000000"/>
          <w:sz w:val="28"/>
          <w:szCs w:val="28"/>
        </w:rPr>
        <w:t xml:space="preserve">. Z </w:t>
      </w:r>
      <w:r w:rsidR="00BE2E0D" w:rsidRPr="00964FF6">
        <w:rPr>
          <w:rFonts w:ascii="BettysHand" w:hAnsi="BettysHand" w:cs="Arial"/>
          <w:sz w:val="28"/>
          <w:szCs w:val="28"/>
        </w:rPr>
        <w:t>Abecednik, ki vsebuje vsega osem listov, pa je hotel, da bi se rojaki iz nje nau</w:t>
      </w:r>
      <w:r w:rsidR="00BE2E0D" w:rsidRPr="00964FF6">
        <w:rPr>
          <w:rFonts w:ascii="Arial" w:hAnsi="Arial" w:cs="Arial"/>
          <w:sz w:val="28"/>
          <w:szCs w:val="28"/>
        </w:rPr>
        <w:t>č</w:t>
      </w:r>
      <w:r w:rsidR="00BE2E0D" w:rsidRPr="00964FF6">
        <w:rPr>
          <w:rFonts w:ascii="BettysHand" w:hAnsi="BettysHand" w:cs="Arial"/>
          <w:sz w:val="28"/>
          <w:szCs w:val="28"/>
        </w:rPr>
        <w:t>ili branja.</w:t>
      </w:r>
      <w:r w:rsidR="00BE2E0D" w:rsidRPr="00BE2E0D">
        <w:t xml:space="preserve"> </w:t>
      </w:r>
      <w:r w:rsidR="00BE2E0D" w:rsidRPr="00BE2E0D">
        <w:rPr>
          <w:color w:val="000000"/>
          <w:sz w:val="28"/>
          <w:szCs w:val="28"/>
        </w:rPr>
        <w:t xml:space="preserve">Pri sestavljanju prve slovenske knjige je imel Trubar velike težave zaradi pisave in jezika. Za črkopis je vzel </w:t>
      </w:r>
      <w:r w:rsidR="00BE2E0D" w:rsidRPr="00BE2E0D">
        <w:rPr>
          <w:i/>
          <w:iCs/>
          <w:color w:val="000000"/>
          <w:sz w:val="28"/>
          <w:szCs w:val="28"/>
        </w:rPr>
        <w:t xml:space="preserve">gotico, </w:t>
      </w:r>
      <w:r w:rsidR="00BE2E0D" w:rsidRPr="00BE2E0D">
        <w:rPr>
          <w:color w:val="000000"/>
          <w:sz w:val="28"/>
          <w:szCs w:val="28"/>
        </w:rPr>
        <w:t xml:space="preserve">ki jo je kasneje nadomestil z </w:t>
      </w:r>
      <w:r w:rsidR="00BE2E0D" w:rsidRPr="00BE2E0D">
        <w:rPr>
          <w:i/>
          <w:iCs/>
          <w:color w:val="000000"/>
          <w:sz w:val="28"/>
          <w:szCs w:val="28"/>
        </w:rPr>
        <w:t xml:space="preserve">latinico, </w:t>
      </w:r>
      <w:r w:rsidR="00BE2E0D" w:rsidRPr="00BE2E0D">
        <w:rPr>
          <w:color w:val="000000"/>
          <w:sz w:val="28"/>
          <w:szCs w:val="28"/>
        </w:rPr>
        <w:t>jezik pa je tedanje ljubljansko narečje.</w:t>
      </w:r>
    </w:p>
    <w:p w:rsidR="00BE2E0D" w:rsidRDefault="00BE2E0D" w:rsidP="00BE2E0D">
      <w:pPr>
        <w:pStyle w:val="NormalWeb"/>
        <w:shd w:val="clear" w:color="auto" w:fill="F8FCFF"/>
        <w:rPr>
          <w:rFonts w:ascii="BettysHand" w:hAnsi="BettysHand" w:cs="Arial"/>
          <w:sz w:val="28"/>
          <w:szCs w:val="28"/>
        </w:rPr>
      </w:pPr>
    </w:p>
    <w:p w:rsidR="006A360D" w:rsidRDefault="006A360D" w:rsidP="006A360D">
      <w:pPr>
        <w:rPr>
          <w:color w:val="000000"/>
          <w:sz w:val="28"/>
          <w:szCs w:val="28"/>
        </w:rPr>
      </w:pPr>
      <w:r w:rsidRPr="006A360D">
        <w:rPr>
          <w:color w:val="000000"/>
          <w:sz w:val="28"/>
          <w:szCs w:val="28"/>
        </w:rPr>
        <w:t xml:space="preserve"> Da bi oblikoval osnovo knjižnega jezika, se je Trubar oprl na govor osrednjega slovenskega prostora. Po vrnitvi v Ljubljano je izdal še </w:t>
      </w:r>
      <w:r w:rsidRPr="006A360D">
        <w:rPr>
          <w:rStyle w:val="Strong"/>
          <w:color w:val="000000"/>
          <w:sz w:val="28"/>
          <w:szCs w:val="28"/>
        </w:rPr>
        <w:t>Slovensko cerkovno ordningo</w:t>
      </w:r>
      <w:r w:rsidRPr="006A360D">
        <w:rPr>
          <w:color w:val="000000"/>
          <w:sz w:val="28"/>
          <w:szCs w:val="28"/>
        </w:rPr>
        <w:t>, cerkveni red. Z njo je slovenščina postala jezik cerkvenih obredov, verskih opravil in nauka. Zaradi tega dela se je moral Trubar dokončno izseliti s Kranjskega, ker je deloval v nasprotju z določili augsburškega miru.</w:t>
      </w:r>
    </w:p>
    <w:p w:rsidR="00BE2E0D" w:rsidRDefault="00BE2E0D" w:rsidP="00BE2E0D">
      <w:pPr>
        <w:pStyle w:val="BodyTextIndent"/>
        <w:rPr>
          <w:sz w:val="28"/>
          <w:szCs w:val="28"/>
        </w:rPr>
      </w:pPr>
    </w:p>
    <w:p w:rsidR="00BE2E0D" w:rsidRPr="00BE2E0D" w:rsidRDefault="00BE2E0D" w:rsidP="00461C99">
      <w:pPr>
        <w:jc w:val="both"/>
        <w:rPr>
          <w:sz w:val="28"/>
          <w:szCs w:val="28"/>
        </w:rPr>
      </w:pPr>
      <w:r w:rsidRPr="00BE2E0D">
        <w:rPr>
          <w:sz w:val="28"/>
          <w:szCs w:val="28"/>
        </w:rPr>
        <w:t>Trubar je bil za čas svojega življenja zelo cenjen človek. Imel izreden sloves in vpliv. V Nemčiji so ga cenili tako visoko, da bi se lahko vključil na württenberški dvor kot svetovalec nadvojvode Krištofa ter postal svetovalec za balkanska vprašanja.</w:t>
      </w:r>
    </w:p>
    <w:p w:rsidR="00461C99" w:rsidRDefault="00BE2E0D" w:rsidP="00461C99">
      <w:pPr>
        <w:rPr>
          <w:color w:val="000000"/>
          <w:sz w:val="28"/>
          <w:szCs w:val="28"/>
        </w:rPr>
      </w:pPr>
      <w:r w:rsidRPr="00BE2E0D">
        <w:rPr>
          <w:sz w:val="28"/>
          <w:szCs w:val="28"/>
        </w:rPr>
        <w:t>Napisal je 22 knjig v Slovenščini, 2 knjigi v Nemščini.</w:t>
      </w:r>
      <w:r w:rsidR="00461C99" w:rsidRPr="00461C99">
        <w:rPr>
          <w:rFonts w:ascii="Arial" w:hAnsi="Arial" w:cs="Arial"/>
          <w:color w:val="000000"/>
          <w:sz w:val="18"/>
          <w:szCs w:val="18"/>
        </w:rPr>
        <w:t xml:space="preserve"> </w:t>
      </w:r>
      <w:r w:rsidR="00461C99" w:rsidRPr="00461C99">
        <w:rPr>
          <w:color w:val="000000"/>
          <w:sz w:val="28"/>
          <w:szCs w:val="28"/>
        </w:rPr>
        <w:t>Poleg tega je napisal 1O predgovorov za dela drugih avtorjev v nemščini</w:t>
      </w:r>
      <w:r w:rsidR="00461C99">
        <w:rPr>
          <w:color w:val="000000"/>
          <w:sz w:val="28"/>
          <w:szCs w:val="28"/>
        </w:rPr>
        <w:t>.</w:t>
      </w:r>
    </w:p>
    <w:p w:rsidR="00461C99" w:rsidRDefault="00461C99" w:rsidP="00461C99">
      <w:pPr>
        <w:rPr>
          <w:color w:val="000000"/>
          <w:sz w:val="32"/>
          <w:szCs w:val="32"/>
        </w:rPr>
      </w:pPr>
    </w:p>
    <w:p w:rsidR="00461C99" w:rsidRPr="00461C99" w:rsidRDefault="00461C99" w:rsidP="00461C99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D</w:t>
      </w:r>
      <w:r w:rsidRPr="00461C99">
        <w:rPr>
          <w:color w:val="000000"/>
          <w:sz w:val="36"/>
          <w:szCs w:val="36"/>
        </w:rPr>
        <w:t>ela</w:t>
      </w:r>
      <w:r>
        <w:rPr>
          <w:color w:val="000000"/>
          <w:sz w:val="36"/>
          <w:szCs w:val="36"/>
        </w:rPr>
        <w:t>:</w:t>
      </w:r>
    </w:p>
    <w:p w:rsidR="00461C99" w:rsidRDefault="00461C99" w:rsidP="00461C99">
      <w:pPr>
        <w:rPr>
          <w:color w:val="000000"/>
          <w:sz w:val="28"/>
          <w:szCs w:val="28"/>
        </w:rPr>
      </w:pPr>
    </w:p>
    <w:p w:rsidR="00461C99" w:rsidRPr="00461C99" w:rsidRDefault="00461C99" w:rsidP="00461C9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61C99">
        <w:rPr>
          <w:color w:val="000000"/>
          <w:sz w:val="28"/>
          <w:szCs w:val="28"/>
        </w:rPr>
        <w:t xml:space="preserve">1550 Catechismus (z dodatkom pesmi), Abecedarium, oba v gotici </w:t>
      </w:r>
    </w:p>
    <w:p w:rsidR="00461C99" w:rsidRPr="00461C99" w:rsidRDefault="00461C99" w:rsidP="00461C9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61C99">
        <w:rPr>
          <w:color w:val="000000"/>
          <w:sz w:val="28"/>
          <w:szCs w:val="28"/>
        </w:rPr>
        <w:t xml:space="preserve">1555 Ta evangeli svetiga Matevža, ponovno tudi Katekizem in Abecednik v latinici, Ena molitov tih krščenikov, kir so zavolo te prave vere v jezusa Kristusa pregnani </w:t>
      </w:r>
    </w:p>
    <w:p w:rsidR="00461C99" w:rsidRPr="00461C99" w:rsidRDefault="00461C99" w:rsidP="00461C9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61C99">
        <w:rPr>
          <w:color w:val="000000"/>
          <w:sz w:val="28"/>
          <w:szCs w:val="28"/>
        </w:rPr>
        <w:t xml:space="preserve">  1557 Ta prvi dejl tiga noviga testamenta, Ta slovenski koledar </w:t>
      </w:r>
    </w:p>
    <w:p w:rsidR="00461C99" w:rsidRPr="00461C99" w:rsidRDefault="00461C99" w:rsidP="00461C9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61C99">
        <w:rPr>
          <w:color w:val="000000"/>
          <w:sz w:val="28"/>
          <w:szCs w:val="28"/>
        </w:rPr>
        <w:t xml:space="preserve">  1558 En regišter. . . ena kratka postila </w:t>
      </w:r>
    </w:p>
    <w:p w:rsidR="00461C99" w:rsidRPr="00461C99" w:rsidRDefault="00461C99" w:rsidP="00461C9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61C99">
        <w:rPr>
          <w:color w:val="000000"/>
          <w:sz w:val="28"/>
          <w:szCs w:val="28"/>
        </w:rPr>
        <w:t xml:space="preserve">  1560 Ta drugi dejl tiga noviga testamenta </w:t>
      </w:r>
    </w:p>
    <w:p w:rsidR="00461C99" w:rsidRPr="00461C99" w:rsidRDefault="00461C99" w:rsidP="00461C9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61C99">
        <w:rPr>
          <w:color w:val="000000"/>
          <w:sz w:val="28"/>
          <w:szCs w:val="28"/>
        </w:rPr>
        <w:t xml:space="preserve">1562 Artikuli oli dejli te prave stare vere krščanske </w:t>
      </w:r>
    </w:p>
    <w:p w:rsidR="00461C99" w:rsidRPr="00461C99" w:rsidRDefault="00461C99" w:rsidP="00461C9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61C99">
        <w:rPr>
          <w:color w:val="000000"/>
          <w:sz w:val="28"/>
          <w:szCs w:val="28"/>
        </w:rPr>
        <w:t xml:space="preserve">1564 Cerkovna ordninga </w:t>
      </w:r>
    </w:p>
    <w:p w:rsidR="00461C99" w:rsidRPr="00461C99" w:rsidRDefault="00461C99" w:rsidP="00461C9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61C99">
        <w:rPr>
          <w:color w:val="000000"/>
          <w:sz w:val="28"/>
          <w:szCs w:val="28"/>
        </w:rPr>
        <w:t xml:space="preserve">1566 Ta celi psalter Davidov in nov Abecedarium </w:t>
      </w:r>
    </w:p>
    <w:p w:rsidR="00461C99" w:rsidRPr="00461C99" w:rsidRDefault="00461C99" w:rsidP="00461C9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61C99">
        <w:rPr>
          <w:color w:val="000000"/>
          <w:sz w:val="28"/>
          <w:szCs w:val="28"/>
        </w:rPr>
        <w:t xml:space="preserve"> 1567 Ta celi katehismus, Sv: Pavla listuvi, Ena duhovska pesem, Eni psalmi…  </w:t>
      </w:r>
    </w:p>
    <w:p w:rsidR="00461C99" w:rsidRPr="00461C99" w:rsidRDefault="00461C99" w:rsidP="00461C9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61C99">
        <w:rPr>
          <w:color w:val="000000"/>
          <w:sz w:val="28"/>
          <w:szCs w:val="28"/>
        </w:rPr>
        <w:t xml:space="preserve">1574 Ta celi katehismus, Eni psalmi </w:t>
      </w:r>
    </w:p>
    <w:p w:rsidR="00461C99" w:rsidRPr="00461C99" w:rsidRDefault="00461C99" w:rsidP="00461C9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61C99">
        <w:rPr>
          <w:color w:val="000000"/>
          <w:sz w:val="28"/>
          <w:szCs w:val="28"/>
        </w:rPr>
        <w:t xml:space="preserve">1575 Tri duhovske pejsni </w:t>
      </w:r>
    </w:p>
    <w:p w:rsidR="00461C99" w:rsidRPr="00461C99" w:rsidRDefault="00461C99" w:rsidP="00461C9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61C99">
        <w:rPr>
          <w:color w:val="000000"/>
          <w:sz w:val="28"/>
          <w:szCs w:val="28"/>
        </w:rPr>
        <w:t xml:space="preserve">1577 Noviga testamenta pusledni dejl </w:t>
      </w:r>
    </w:p>
    <w:p w:rsidR="00461C99" w:rsidRPr="00461C99" w:rsidRDefault="00461C99" w:rsidP="00461C9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61C99">
        <w:rPr>
          <w:color w:val="000000"/>
          <w:sz w:val="28"/>
          <w:szCs w:val="28"/>
        </w:rPr>
        <w:t xml:space="preserve">1579 Ta prvi psalm ž nega trijemi izlagami </w:t>
      </w:r>
    </w:p>
    <w:p w:rsidR="00461C99" w:rsidRPr="00461C99" w:rsidRDefault="00461C99" w:rsidP="00461C9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61C99">
        <w:rPr>
          <w:color w:val="000000"/>
          <w:sz w:val="28"/>
          <w:szCs w:val="28"/>
        </w:rPr>
        <w:t xml:space="preserve">1582 Ta celi nov testament, Ta slovenski koledar </w:t>
      </w:r>
    </w:p>
    <w:p w:rsidR="00461C99" w:rsidRPr="00461C99" w:rsidRDefault="00461C99" w:rsidP="00461C9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61C99">
        <w:rPr>
          <w:color w:val="000000"/>
          <w:sz w:val="28"/>
          <w:szCs w:val="28"/>
        </w:rPr>
        <w:t>1595 Hišna postila - posmrtno izdal sin</w:t>
      </w:r>
    </w:p>
    <w:p w:rsidR="00461C99" w:rsidRDefault="00461C99" w:rsidP="00461C99">
      <w:pPr>
        <w:rPr>
          <w:rFonts w:ascii="Arial" w:hAnsi="Arial" w:cs="Arial"/>
          <w:color w:val="000000"/>
          <w:sz w:val="18"/>
          <w:szCs w:val="18"/>
        </w:rPr>
      </w:pPr>
    </w:p>
    <w:p w:rsidR="00BE2E0D" w:rsidRPr="00BE2E0D" w:rsidRDefault="00BE2E0D" w:rsidP="00BE2E0D">
      <w:pPr>
        <w:ind w:firstLine="340"/>
        <w:jc w:val="both"/>
        <w:rPr>
          <w:sz w:val="28"/>
          <w:szCs w:val="28"/>
        </w:rPr>
      </w:pPr>
      <w:r w:rsidRPr="00BE2E0D">
        <w:rPr>
          <w:sz w:val="28"/>
          <w:szCs w:val="28"/>
        </w:rPr>
        <w:t xml:space="preserve"> V prvi knjigi je uporabljal gotico, kasneje pa je uporabljal latinico, v kateri je za sičnike in šumnike in zlite glasove uporabil naslednje znake:</w:t>
      </w:r>
    </w:p>
    <w:p w:rsidR="00BE2E0D" w:rsidRPr="00BE2E0D" w:rsidRDefault="00BE2E0D" w:rsidP="00BE2E0D">
      <w:pPr>
        <w:ind w:firstLine="340"/>
        <w:jc w:val="both"/>
        <w:rPr>
          <w:sz w:val="28"/>
          <w:szCs w:val="28"/>
        </w:rPr>
      </w:pPr>
      <w:r w:rsidRPr="00BE2E0D">
        <w:rPr>
          <w:sz w:val="28"/>
          <w:szCs w:val="28"/>
        </w:rPr>
        <w:t xml:space="preserve">                           s=f   š=fh  z=s  ž=sh  c=z  č=zh</w:t>
      </w:r>
    </w:p>
    <w:p w:rsidR="00BE2E0D" w:rsidRPr="006A360D" w:rsidRDefault="00BE2E0D" w:rsidP="006A360D">
      <w:pPr>
        <w:rPr>
          <w:color w:val="000000"/>
          <w:sz w:val="28"/>
          <w:szCs w:val="28"/>
        </w:rPr>
      </w:pPr>
    </w:p>
    <w:p w:rsidR="00461C99" w:rsidRPr="00461C99" w:rsidRDefault="00461C99" w:rsidP="00461C99">
      <w:pPr>
        <w:rPr>
          <w:bCs/>
          <w:color w:val="000000"/>
          <w:sz w:val="28"/>
          <w:szCs w:val="28"/>
        </w:rPr>
      </w:pPr>
      <w:r w:rsidRPr="00461C99">
        <w:rPr>
          <w:bCs/>
          <w:color w:val="000000"/>
          <w:sz w:val="28"/>
          <w:szCs w:val="28"/>
        </w:rPr>
        <w:t xml:space="preserve">Svoje življenjsko delo je zaključil s prevodom Noviga testamenta puslednji dejl. Umrl je 28. </w:t>
      </w:r>
      <w:r>
        <w:rPr>
          <w:bCs/>
          <w:color w:val="000000"/>
          <w:sz w:val="28"/>
          <w:szCs w:val="28"/>
        </w:rPr>
        <w:t xml:space="preserve">junija </w:t>
      </w:r>
      <w:r w:rsidRPr="00461C99">
        <w:rPr>
          <w:bCs/>
          <w:color w:val="000000"/>
          <w:sz w:val="28"/>
          <w:szCs w:val="28"/>
        </w:rPr>
        <w:t>leta 1586 v</w:t>
      </w:r>
      <w:r>
        <w:rPr>
          <w:bCs/>
          <w:color w:val="000000"/>
          <w:sz w:val="28"/>
          <w:szCs w:val="28"/>
        </w:rPr>
        <w:t xml:space="preserve"> Nemčiji</w:t>
      </w:r>
      <w:r w:rsidRPr="00461C99">
        <w:rPr>
          <w:bCs/>
          <w:color w:val="000000"/>
          <w:sz w:val="28"/>
          <w:szCs w:val="28"/>
        </w:rPr>
        <w:t>, obdan s svojci in prijatelji. Pokopan je v tamkajšnji cerkvi.</w:t>
      </w:r>
    </w:p>
    <w:p w:rsidR="00843EE9" w:rsidRPr="00461C99" w:rsidRDefault="00843EE9">
      <w:pPr>
        <w:rPr>
          <w:sz w:val="28"/>
          <w:szCs w:val="28"/>
        </w:rPr>
      </w:pPr>
    </w:p>
    <w:sectPr w:rsidR="00843EE9" w:rsidRPr="00461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ttysH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E731A"/>
    <w:multiLevelType w:val="hybridMultilevel"/>
    <w:tmpl w:val="D76CC1A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43E"/>
    <w:rsid w:val="003807ED"/>
    <w:rsid w:val="00461C99"/>
    <w:rsid w:val="00530B56"/>
    <w:rsid w:val="006A360D"/>
    <w:rsid w:val="0079543E"/>
    <w:rsid w:val="00843EE9"/>
    <w:rsid w:val="00B03AE4"/>
    <w:rsid w:val="00BE2E0D"/>
    <w:rsid w:val="00C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A360D"/>
    <w:rPr>
      <w:b/>
      <w:bCs/>
    </w:rPr>
  </w:style>
  <w:style w:type="paragraph" w:styleId="BodyTextIndent">
    <w:name w:val="Body Text Indent"/>
    <w:basedOn w:val="Normal"/>
    <w:rsid w:val="00BE2E0D"/>
    <w:pPr>
      <w:ind w:firstLine="340"/>
      <w:jc w:val="both"/>
    </w:pPr>
    <w:rPr>
      <w:szCs w:val="20"/>
    </w:rPr>
  </w:style>
  <w:style w:type="character" w:styleId="Hyperlink">
    <w:name w:val="Hyperlink"/>
    <w:basedOn w:val="DefaultParagraphFont"/>
    <w:semiHidden/>
    <w:unhideWhenUsed/>
    <w:rsid w:val="00BE2E0D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semiHidden/>
    <w:unhideWhenUsed/>
    <w:rsid w:val="00BE2E0D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Ve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.wikipedia.org/w/index.php?title=Pridiga&amp;action=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Molitev" TargetMode="External"/><Relationship Id="rId5" Type="http://schemas.openxmlformats.org/officeDocument/2006/relationships/hyperlink" Target="http://sl.wikipedia.org/wiki/Pese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Links>
    <vt:vector size="24" baseType="variant">
      <vt:variant>
        <vt:i4>852050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http://sl.wikipedia.org/wiki/Vera</vt:lpwstr>
      </vt:variant>
      <vt:variant>
        <vt:lpwstr/>
      </vt:variant>
      <vt:variant>
        <vt:i4>5439569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http://sl.wikipedia.org/w/index.php?title=Pridiga&amp;action=edit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http://sl.wikipedia.org/wiki/Molitev</vt:lpwstr>
      </vt:variant>
      <vt:variant>
        <vt:lpwstr/>
      </vt:variant>
      <vt:variant>
        <vt:i4>6750263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http://sl.wikipedia.org/wiki/Pesem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