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B1A85E" w14:textId="77777777" w:rsidR="001F3859" w:rsidRDefault="007558A1">
      <w:pPr>
        <w:jc w:val="center"/>
        <w:rPr>
          <w:b/>
          <w:color w:val="00FFFF"/>
          <w:sz w:val="44"/>
          <w:szCs w:val="44"/>
        </w:rPr>
      </w:pPr>
      <w:bookmarkStart w:id="0" w:name="_GoBack"/>
      <w:bookmarkEnd w:id="0"/>
      <w:r>
        <w:rPr>
          <w:b/>
          <w:color w:val="00FFFF"/>
          <w:sz w:val="44"/>
          <w:szCs w:val="44"/>
        </w:rPr>
        <w:t>HUMANIZEM</w:t>
      </w:r>
    </w:p>
    <w:p w14:paraId="4194DE10" w14:textId="77777777" w:rsidR="001F3859" w:rsidRDefault="001F3859">
      <w:pPr>
        <w:jc w:val="both"/>
        <w:rPr>
          <w:b/>
        </w:rPr>
      </w:pPr>
    </w:p>
    <w:p w14:paraId="0717E355" w14:textId="77777777" w:rsidR="001F3859" w:rsidRDefault="007558A1">
      <w:pPr>
        <w:jc w:val="both"/>
      </w:pPr>
      <w:r>
        <w:rPr>
          <w:b/>
        </w:rPr>
        <w:t>Izraz:</w:t>
      </w:r>
      <w:r>
        <w:t xml:space="preserve"> homo lat.= človek</w:t>
      </w:r>
    </w:p>
    <w:p w14:paraId="3A78ED59" w14:textId="77777777" w:rsidR="001F3859" w:rsidRDefault="007558A1">
      <w:pPr>
        <w:jc w:val="both"/>
      </w:pPr>
      <w:r>
        <w:tab/>
        <w:t xml:space="preserve">   humanus = človeški</w:t>
      </w:r>
    </w:p>
    <w:p w14:paraId="4C365562" w14:textId="77777777" w:rsidR="001F3859" w:rsidRDefault="001F3859">
      <w:pPr>
        <w:jc w:val="both"/>
      </w:pPr>
    </w:p>
    <w:p w14:paraId="5B767993" w14:textId="77777777" w:rsidR="001F3859" w:rsidRDefault="007558A1">
      <w:pPr>
        <w:jc w:val="both"/>
      </w:pPr>
      <w:r>
        <w:rPr>
          <w:b/>
        </w:rPr>
        <w:t>Humanizem</w:t>
      </w:r>
      <w:r>
        <w:rPr>
          <w:color w:val="00FFFF"/>
        </w:rPr>
        <w:t xml:space="preserve"> je duhovno gibanje, ki je ponovno začelo obujati antiko</w:t>
      </w:r>
      <w:r>
        <w:t>.</w:t>
      </w:r>
    </w:p>
    <w:p w14:paraId="6B22E899" w14:textId="77777777" w:rsidR="001F3859" w:rsidRDefault="001F3859">
      <w:pPr>
        <w:jc w:val="both"/>
      </w:pPr>
    </w:p>
    <w:p w14:paraId="35421A83" w14:textId="77777777" w:rsidR="001F3859" w:rsidRDefault="007558A1">
      <w:pPr>
        <w:jc w:val="both"/>
        <w:rPr>
          <w:b/>
        </w:rPr>
      </w:pPr>
      <w:r>
        <w:rPr>
          <w:b/>
        </w:rPr>
        <w:t xml:space="preserve">Značilnosti: </w:t>
      </w:r>
    </w:p>
    <w:p w14:paraId="43FFE0D7" w14:textId="77777777" w:rsidR="001F3859" w:rsidRDefault="007558A1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rPr>
          <w:b/>
        </w:rPr>
        <w:t>individualizem</w:t>
      </w:r>
      <w:r>
        <w:t xml:space="preserve"> – poudarja pomen posameznika</w:t>
      </w:r>
    </w:p>
    <w:p w14:paraId="4A617C5C" w14:textId="77777777" w:rsidR="001F3859" w:rsidRDefault="007558A1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rPr>
          <w:b/>
        </w:rPr>
        <w:t>antropocentrizem</w:t>
      </w:r>
      <w:r>
        <w:t xml:space="preserve"> – središče vsega je človek</w:t>
      </w:r>
    </w:p>
    <w:p w14:paraId="18ECB09D" w14:textId="77777777" w:rsidR="001F3859" w:rsidRDefault="007558A1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rPr>
          <w:b/>
        </w:rPr>
        <w:t>senzualizem</w:t>
      </w:r>
      <w:r>
        <w:t xml:space="preserve"> – predajanje čutnim užitkom</w:t>
      </w:r>
    </w:p>
    <w:p w14:paraId="4B402CAF" w14:textId="77777777" w:rsidR="001F3859" w:rsidRDefault="007558A1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rPr>
          <w:b/>
        </w:rPr>
        <w:t>ekstecizem</w:t>
      </w:r>
      <w:r>
        <w:t xml:space="preserve"> – kult telesne in duhovne lepote</w:t>
      </w:r>
    </w:p>
    <w:p w14:paraId="77FF1182" w14:textId="77777777" w:rsidR="001F3859" w:rsidRDefault="007558A1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rPr>
          <w:b/>
        </w:rPr>
        <w:t>panteizem</w:t>
      </w:r>
      <w:r>
        <w:t xml:space="preserve"> – bog in narava sta eno</w:t>
      </w:r>
    </w:p>
    <w:p w14:paraId="0F4FA390" w14:textId="77777777" w:rsidR="001F3859" w:rsidRDefault="007558A1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rPr>
          <w:b/>
        </w:rPr>
        <w:t>empirizem</w:t>
      </w:r>
      <w:r>
        <w:t xml:space="preserve"> – opazovanje narave je glavni vir spoznanja</w:t>
      </w:r>
    </w:p>
    <w:p w14:paraId="7D427E2F" w14:textId="77777777" w:rsidR="001F3859" w:rsidRDefault="007558A1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rPr>
          <w:b/>
        </w:rPr>
        <w:t>neopanganizem</w:t>
      </w:r>
      <w:r>
        <w:t xml:space="preserve"> – ponovno zanimanje za antiko</w:t>
      </w:r>
    </w:p>
    <w:p w14:paraId="7AEFDE16" w14:textId="77777777" w:rsidR="001F3859" w:rsidRDefault="007558A1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t>ni več slepega zaupanje cerkvi</w:t>
      </w:r>
    </w:p>
    <w:p w14:paraId="5F27EC80" w14:textId="77777777" w:rsidR="001F3859" w:rsidRDefault="001F3859">
      <w:pPr>
        <w:jc w:val="both"/>
      </w:pPr>
    </w:p>
    <w:p w14:paraId="19A8C3BE" w14:textId="77777777" w:rsidR="001F3859" w:rsidRDefault="007558A1">
      <w:pPr>
        <w:jc w:val="both"/>
      </w:pPr>
      <w:r>
        <w:rPr>
          <w:b/>
        </w:rPr>
        <w:t>Humanisti:</w:t>
      </w:r>
      <w:r>
        <w:t xml:space="preserve"> učenjaki, meščani, plemiči, renesančni ustvarjalci:</w:t>
      </w:r>
    </w:p>
    <w:p w14:paraId="7A6A104F" w14:textId="77777777" w:rsidR="001F3859" w:rsidRDefault="007558A1">
      <w:pPr>
        <w:numPr>
          <w:ilvl w:val="0"/>
          <w:numId w:val="3"/>
        </w:numPr>
        <w:tabs>
          <w:tab w:val="left" w:pos="644"/>
        </w:tabs>
        <w:ind w:left="644"/>
        <w:jc w:val="both"/>
      </w:pPr>
      <w:r>
        <w:t>Petrarca</w:t>
      </w:r>
    </w:p>
    <w:p w14:paraId="5200A10E" w14:textId="77777777" w:rsidR="001F3859" w:rsidRDefault="007558A1">
      <w:pPr>
        <w:numPr>
          <w:ilvl w:val="0"/>
          <w:numId w:val="3"/>
        </w:numPr>
        <w:tabs>
          <w:tab w:val="left" w:pos="644"/>
        </w:tabs>
        <w:ind w:left="644"/>
        <w:jc w:val="both"/>
      </w:pPr>
      <w:r>
        <w:t>Boccaccio</w:t>
      </w:r>
    </w:p>
    <w:p w14:paraId="7D2F87C0" w14:textId="77777777" w:rsidR="001F3859" w:rsidRDefault="007558A1">
      <w:pPr>
        <w:numPr>
          <w:ilvl w:val="0"/>
          <w:numId w:val="3"/>
        </w:numPr>
        <w:tabs>
          <w:tab w:val="left" w:pos="644"/>
        </w:tabs>
        <w:ind w:left="644"/>
        <w:jc w:val="both"/>
      </w:pPr>
      <w:r>
        <w:t>Machiavelli</w:t>
      </w:r>
    </w:p>
    <w:p w14:paraId="2377BFA5" w14:textId="77777777" w:rsidR="001F3859" w:rsidRDefault="007558A1">
      <w:pPr>
        <w:numPr>
          <w:ilvl w:val="0"/>
          <w:numId w:val="3"/>
        </w:numPr>
        <w:tabs>
          <w:tab w:val="left" w:pos="644"/>
        </w:tabs>
        <w:ind w:left="644"/>
        <w:jc w:val="both"/>
      </w:pPr>
      <w:r>
        <w:t>Montaigne</w:t>
      </w:r>
    </w:p>
    <w:p w14:paraId="43FFF030" w14:textId="77777777" w:rsidR="001F3859" w:rsidRDefault="007558A1">
      <w:pPr>
        <w:numPr>
          <w:ilvl w:val="0"/>
          <w:numId w:val="3"/>
        </w:numPr>
        <w:tabs>
          <w:tab w:val="left" w:pos="644"/>
        </w:tabs>
        <w:ind w:left="644"/>
        <w:jc w:val="both"/>
      </w:pPr>
      <w:r>
        <w:t>Erazem Roterdamski</w:t>
      </w:r>
      <w:r>
        <w:br w:type="page"/>
      </w:r>
      <w:r>
        <w:rPr>
          <w:b/>
          <w:color w:val="00FFFF"/>
          <w:sz w:val="44"/>
          <w:szCs w:val="44"/>
        </w:rPr>
        <w:lastRenderedPageBreak/>
        <w:t>RENESANSA</w:t>
      </w:r>
    </w:p>
    <w:p w14:paraId="4CAE33B5" w14:textId="77777777" w:rsidR="001F3859" w:rsidRDefault="001F3859">
      <w:pPr>
        <w:jc w:val="both"/>
      </w:pPr>
    </w:p>
    <w:p w14:paraId="52029187" w14:textId="77777777" w:rsidR="001F3859" w:rsidRDefault="007558A1">
      <w:pPr>
        <w:jc w:val="both"/>
      </w:pPr>
      <w:r>
        <w:rPr>
          <w:b/>
        </w:rPr>
        <w:t>Izraz:</w:t>
      </w:r>
      <w:r>
        <w:t xml:space="preserve"> francosko = preporod miselnosti na srednji vek</w:t>
      </w:r>
    </w:p>
    <w:p w14:paraId="4795BBAA" w14:textId="77777777" w:rsidR="001F3859" w:rsidRDefault="001F3859">
      <w:pPr>
        <w:jc w:val="both"/>
      </w:pPr>
    </w:p>
    <w:p w14:paraId="564D3782" w14:textId="77777777" w:rsidR="001F3859" w:rsidRDefault="007558A1">
      <w:pPr>
        <w:jc w:val="both"/>
        <w:rPr>
          <w:b/>
        </w:rPr>
      </w:pPr>
      <w:r>
        <w:rPr>
          <w:b/>
        </w:rPr>
        <w:t>Čas:</w:t>
      </w:r>
    </w:p>
    <w:p w14:paraId="6B574C64" w14:textId="77777777" w:rsidR="001F3859" w:rsidRDefault="001F385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2"/>
        <w:gridCol w:w="2928"/>
        <w:gridCol w:w="3368"/>
      </w:tblGrid>
      <w:tr w:rsidR="001F3859" w14:paraId="40451288" w14:textId="77777777">
        <w:trPr>
          <w:trHeight w:hRule="exact" w:val="552"/>
        </w:trPr>
        <w:tc>
          <w:tcPr>
            <w:tcW w:w="2992" w:type="dxa"/>
          </w:tcPr>
          <w:p w14:paraId="0F1A9430" w14:textId="77777777" w:rsidR="001F3859" w:rsidRDefault="00801DFD">
            <w:pPr>
              <w:snapToGrid w:val="0"/>
              <w:jc w:val="center"/>
              <w:rPr>
                <w:color w:val="00FFFF"/>
              </w:rPr>
            </w:pPr>
            <w:r>
              <w:pict w14:anchorId="67C18413">
                <v:line id="_x0000_s1028" style="position:absolute;left:0;text-align:left;z-index:251658752;mso-position-horizontal:absolute;mso-position-horizontal-relative:text;mso-position-vertical:absolute;mso-position-vertical-relative:text" from="68.05pt,34.75pt" to="68.05pt,61.75pt" strokeweight=".26mm">
                  <v:stroke endarrow="block" joinstyle="miter"/>
                </v:line>
              </w:pict>
            </w:r>
            <w:r w:rsidR="007558A1">
              <w:rPr>
                <w:color w:val="00FFFF"/>
              </w:rPr>
              <w:t>ZGODNJA RENESANSA</w:t>
            </w:r>
          </w:p>
        </w:tc>
        <w:tc>
          <w:tcPr>
            <w:tcW w:w="2928" w:type="dxa"/>
          </w:tcPr>
          <w:p w14:paraId="09B3B2A8" w14:textId="77777777" w:rsidR="001F3859" w:rsidRDefault="00801DFD">
            <w:pPr>
              <w:snapToGrid w:val="0"/>
              <w:jc w:val="center"/>
              <w:rPr>
                <w:color w:val="00FFFF"/>
              </w:rPr>
            </w:pPr>
            <w:r>
              <w:pict w14:anchorId="05F4C012">
                <v:line id="_x0000_s1027" style="position:absolute;left:0;text-align:left;z-index:251657728;mso-position-horizontal:absolute;mso-position-horizontal-relative:text;mso-position-vertical:absolute;mso-position-vertical-relative:text" from="62.8pt,34.75pt" to="62.8pt,61.75pt" strokeweight=".26mm">
                  <v:stroke endarrow="block" joinstyle="miter"/>
                </v:line>
              </w:pict>
            </w:r>
            <w:r w:rsidR="007558A1">
              <w:rPr>
                <w:color w:val="00FFFF"/>
              </w:rPr>
              <w:t>VISOKA RENESANSA</w:t>
            </w:r>
          </w:p>
        </w:tc>
        <w:tc>
          <w:tcPr>
            <w:tcW w:w="3368" w:type="dxa"/>
          </w:tcPr>
          <w:p w14:paraId="4DD999DE" w14:textId="77777777" w:rsidR="001F3859" w:rsidRDefault="007558A1">
            <w:pPr>
              <w:snapToGrid w:val="0"/>
              <w:jc w:val="center"/>
              <w:rPr>
                <w:color w:val="00FFFF"/>
              </w:rPr>
            </w:pPr>
            <w:r>
              <w:rPr>
                <w:color w:val="00FFFF"/>
              </w:rPr>
              <w:t xml:space="preserve">POZNA </w:t>
            </w:r>
          </w:p>
          <w:p w14:paraId="2FF0B463" w14:textId="77777777" w:rsidR="001F3859" w:rsidRDefault="00801DFD">
            <w:pPr>
              <w:jc w:val="center"/>
              <w:rPr>
                <w:color w:val="00FFFF"/>
              </w:rPr>
            </w:pPr>
            <w:r>
              <w:pict w14:anchorId="19792CFC">
                <v:line id="_x0000_s1026" style="position:absolute;left:0;text-align:left;z-index:251656704;mso-position-horizontal:absolute;mso-position-horizontal-relative:text;mso-position-vertical:absolute;mso-position-vertical-relative:text" from="78.55pt,15.25pt" to="78.55pt,42.25pt" strokeweight=".26mm">
                  <v:stroke endarrow="block" joinstyle="miter"/>
                </v:line>
              </w:pict>
            </w:r>
            <w:r w:rsidR="007558A1">
              <w:rPr>
                <w:color w:val="00FFFF"/>
              </w:rPr>
              <w:t>RENESANSA</w:t>
            </w:r>
          </w:p>
        </w:tc>
      </w:tr>
      <w:tr w:rsidR="001F3859" w14:paraId="23C30E9B" w14:textId="77777777">
        <w:tc>
          <w:tcPr>
            <w:tcW w:w="2992" w:type="dxa"/>
          </w:tcPr>
          <w:p w14:paraId="34E4B9B5" w14:textId="77777777" w:rsidR="001F3859" w:rsidRDefault="001F3859">
            <w:pPr>
              <w:snapToGrid w:val="0"/>
              <w:jc w:val="center"/>
              <w:rPr>
                <w:color w:val="00FFFF"/>
              </w:rPr>
            </w:pPr>
          </w:p>
        </w:tc>
        <w:tc>
          <w:tcPr>
            <w:tcW w:w="2928" w:type="dxa"/>
          </w:tcPr>
          <w:p w14:paraId="45B5277A" w14:textId="77777777" w:rsidR="001F3859" w:rsidRDefault="001F3859">
            <w:pPr>
              <w:snapToGrid w:val="0"/>
              <w:jc w:val="center"/>
            </w:pPr>
          </w:p>
        </w:tc>
        <w:tc>
          <w:tcPr>
            <w:tcW w:w="3368" w:type="dxa"/>
          </w:tcPr>
          <w:p w14:paraId="51B83B2D" w14:textId="77777777" w:rsidR="001F3859" w:rsidRDefault="001F3859">
            <w:pPr>
              <w:snapToGrid w:val="0"/>
              <w:jc w:val="center"/>
            </w:pPr>
          </w:p>
        </w:tc>
      </w:tr>
      <w:tr w:rsidR="001F3859" w14:paraId="58A4C66A" w14:textId="77777777">
        <w:tc>
          <w:tcPr>
            <w:tcW w:w="2992" w:type="dxa"/>
          </w:tcPr>
          <w:p w14:paraId="0D14214F" w14:textId="77777777" w:rsidR="001F3859" w:rsidRDefault="007558A1">
            <w:pPr>
              <w:snapToGrid w:val="0"/>
              <w:jc w:val="center"/>
            </w:pPr>
            <w:r>
              <w:t>14 – 15 stol.</w:t>
            </w:r>
          </w:p>
        </w:tc>
        <w:tc>
          <w:tcPr>
            <w:tcW w:w="2928" w:type="dxa"/>
          </w:tcPr>
          <w:p w14:paraId="584E94BC" w14:textId="77777777" w:rsidR="001F3859" w:rsidRDefault="007558A1">
            <w:pPr>
              <w:snapToGrid w:val="0"/>
              <w:jc w:val="center"/>
            </w:pPr>
            <w:r>
              <w:t>1500</w:t>
            </w:r>
          </w:p>
        </w:tc>
        <w:tc>
          <w:tcPr>
            <w:tcW w:w="3368" w:type="dxa"/>
          </w:tcPr>
          <w:p w14:paraId="59ACE39C" w14:textId="77777777" w:rsidR="001F3859" w:rsidRDefault="007558A1">
            <w:pPr>
              <w:snapToGrid w:val="0"/>
              <w:jc w:val="center"/>
            </w:pPr>
            <w:r>
              <w:t>po letu 1550</w:t>
            </w:r>
          </w:p>
        </w:tc>
      </w:tr>
      <w:tr w:rsidR="001F3859" w14:paraId="355FA799" w14:textId="77777777">
        <w:tc>
          <w:tcPr>
            <w:tcW w:w="2992" w:type="dxa"/>
          </w:tcPr>
          <w:p w14:paraId="445CBC2E" w14:textId="77777777" w:rsidR="001F3859" w:rsidRDefault="007558A1">
            <w:pPr>
              <w:snapToGrid w:val="0"/>
              <w:jc w:val="center"/>
            </w:pPr>
            <w:r>
              <w:t>Petrarca, Boccaccio</w:t>
            </w:r>
          </w:p>
        </w:tc>
        <w:tc>
          <w:tcPr>
            <w:tcW w:w="2928" w:type="dxa"/>
          </w:tcPr>
          <w:p w14:paraId="34AC0B3A" w14:textId="77777777" w:rsidR="001F3859" w:rsidRDefault="007558A1">
            <w:pPr>
              <w:snapToGrid w:val="0"/>
              <w:jc w:val="center"/>
            </w:pPr>
            <w:r>
              <w:t>Aristo</w:t>
            </w:r>
          </w:p>
        </w:tc>
        <w:tc>
          <w:tcPr>
            <w:tcW w:w="3368" w:type="dxa"/>
          </w:tcPr>
          <w:p w14:paraId="473773BB" w14:textId="77777777" w:rsidR="001F3859" w:rsidRDefault="007558A1">
            <w:pPr>
              <w:snapToGrid w:val="0"/>
              <w:jc w:val="center"/>
            </w:pPr>
            <w:r>
              <w:t>Cervantes, Shakespeare</w:t>
            </w:r>
          </w:p>
        </w:tc>
      </w:tr>
    </w:tbl>
    <w:p w14:paraId="31AD6A2E" w14:textId="77777777" w:rsidR="001F3859" w:rsidRDefault="001F3859">
      <w:pPr>
        <w:jc w:val="both"/>
      </w:pPr>
    </w:p>
    <w:p w14:paraId="64CF3921" w14:textId="77777777" w:rsidR="001F3859" w:rsidRDefault="007558A1">
      <w:pPr>
        <w:jc w:val="both"/>
      </w:pPr>
      <w:r>
        <w:t>Renesansa je odkritje sveta in človeka – čustva, lepota, razum.</w:t>
      </w:r>
    </w:p>
    <w:p w14:paraId="7CCF9FB2" w14:textId="77777777" w:rsidR="001F3859" w:rsidRDefault="007558A1">
      <w:pPr>
        <w:jc w:val="both"/>
      </w:pPr>
      <w:r>
        <w:t>Osvobajanje od religiozne pokorščine, obujanje antične umetnosti in filozofije.</w:t>
      </w:r>
    </w:p>
    <w:p w14:paraId="442E6168" w14:textId="77777777" w:rsidR="001F3859" w:rsidRDefault="001F3859">
      <w:pPr>
        <w:jc w:val="both"/>
      </w:pPr>
    </w:p>
    <w:p w14:paraId="425BA26E" w14:textId="77777777" w:rsidR="001F3859" w:rsidRDefault="007558A1">
      <w:pPr>
        <w:jc w:val="both"/>
        <w:rPr>
          <w:b/>
        </w:rPr>
      </w:pPr>
      <w:r>
        <w:rPr>
          <w:b/>
        </w:rPr>
        <w:t>Značilnosti:</w:t>
      </w:r>
    </w:p>
    <w:p w14:paraId="50733305" w14:textId="77777777" w:rsidR="001F3859" w:rsidRDefault="007558A1">
      <w:pPr>
        <w:numPr>
          <w:ilvl w:val="0"/>
          <w:numId w:val="4"/>
        </w:numPr>
        <w:tabs>
          <w:tab w:val="left" w:pos="644"/>
        </w:tabs>
        <w:ind w:left="644"/>
        <w:jc w:val="both"/>
      </w:pPr>
      <w:r>
        <w:rPr>
          <w:b/>
        </w:rPr>
        <w:t>vitalinizem</w:t>
      </w:r>
      <w:r>
        <w:t xml:space="preserve"> – poudarjanje življenjske moči</w:t>
      </w:r>
    </w:p>
    <w:p w14:paraId="6E793795" w14:textId="77777777" w:rsidR="001F3859" w:rsidRDefault="007558A1">
      <w:pPr>
        <w:numPr>
          <w:ilvl w:val="0"/>
          <w:numId w:val="4"/>
        </w:numPr>
        <w:tabs>
          <w:tab w:val="left" w:pos="644"/>
        </w:tabs>
        <w:ind w:left="644"/>
        <w:jc w:val="both"/>
        <w:rPr>
          <w:b/>
        </w:rPr>
      </w:pPr>
      <w:r>
        <w:rPr>
          <w:b/>
        </w:rPr>
        <w:t>zanimanje za tostranstvo ne za onostranstvo</w:t>
      </w:r>
    </w:p>
    <w:p w14:paraId="3B563721" w14:textId="77777777" w:rsidR="001F3859" w:rsidRDefault="007558A1">
      <w:pPr>
        <w:numPr>
          <w:ilvl w:val="0"/>
          <w:numId w:val="4"/>
        </w:numPr>
        <w:tabs>
          <w:tab w:val="left" w:pos="644"/>
        </w:tabs>
        <w:ind w:left="644"/>
        <w:jc w:val="both"/>
      </w:pPr>
      <w:r>
        <w:rPr>
          <w:b/>
        </w:rPr>
        <w:t>racionalizem</w:t>
      </w:r>
      <w:r>
        <w:t xml:space="preserve"> – vera v moč razuma</w:t>
      </w:r>
    </w:p>
    <w:p w14:paraId="758DCB52" w14:textId="77777777" w:rsidR="001F3859" w:rsidRDefault="007558A1">
      <w:pPr>
        <w:numPr>
          <w:ilvl w:val="0"/>
          <w:numId w:val="4"/>
        </w:numPr>
        <w:tabs>
          <w:tab w:val="left" w:pos="644"/>
        </w:tabs>
        <w:ind w:left="644"/>
        <w:jc w:val="both"/>
      </w:pPr>
      <w:r>
        <w:rPr>
          <w:b/>
        </w:rPr>
        <w:t>individualizem</w:t>
      </w:r>
      <w:r>
        <w:t xml:space="preserve"> – pomen posameznika</w:t>
      </w:r>
    </w:p>
    <w:p w14:paraId="5BBDFCED" w14:textId="77777777" w:rsidR="001F3859" w:rsidRDefault="007558A1">
      <w:pPr>
        <w:numPr>
          <w:ilvl w:val="0"/>
          <w:numId w:val="4"/>
        </w:numPr>
        <w:tabs>
          <w:tab w:val="left" w:pos="644"/>
        </w:tabs>
        <w:ind w:left="644"/>
        <w:jc w:val="both"/>
      </w:pPr>
      <w:r>
        <w:rPr>
          <w:b/>
        </w:rPr>
        <w:t>panteizem</w:t>
      </w:r>
      <w:r>
        <w:t xml:space="preserve"> – harmonija vseh pojavov v naravi</w:t>
      </w:r>
    </w:p>
    <w:p w14:paraId="229CFEEB" w14:textId="77777777" w:rsidR="001F3859" w:rsidRDefault="007558A1">
      <w:pPr>
        <w:numPr>
          <w:ilvl w:val="0"/>
          <w:numId w:val="4"/>
        </w:numPr>
        <w:tabs>
          <w:tab w:val="left" w:pos="644"/>
        </w:tabs>
        <w:ind w:left="644"/>
        <w:jc w:val="both"/>
      </w:pPr>
      <w:r>
        <w:rPr>
          <w:b/>
        </w:rPr>
        <w:t>senzualizem</w:t>
      </w:r>
      <w:r>
        <w:t xml:space="preserve"> – predajanje čutnim užitkom</w:t>
      </w:r>
    </w:p>
    <w:p w14:paraId="7BEC49A5" w14:textId="77777777" w:rsidR="001F3859" w:rsidRDefault="007558A1">
      <w:pPr>
        <w:numPr>
          <w:ilvl w:val="0"/>
          <w:numId w:val="4"/>
        </w:numPr>
        <w:tabs>
          <w:tab w:val="left" w:pos="644"/>
        </w:tabs>
        <w:ind w:left="644"/>
        <w:jc w:val="both"/>
      </w:pPr>
      <w:r>
        <w:rPr>
          <w:b/>
        </w:rPr>
        <w:t>hedonmizem</w:t>
      </w:r>
      <w:r>
        <w:t xml:space="preserve"> – nazor, cilj življenja je uživanje</w:t>
      </w:r>
    </w:p>
    <w:p w14:paraId="32D23BB3" w14:textId="77777777" w:rsidR="001F3859" w:rsidRDefault="007558A1">
      <w:pPr>
        <w:numPr>
          <w:ilvl w:val="0"/>
          <w:numId w:val="4"/>
        </w:numPr>
        <w:tabs>
          <w:tab w:val="left" w:pos="644"/>
        </w:tabs>
        <w:ind w:left="644"/>
        <w:jc w:val="both"/>
      </w:pPr>
      <w:r>
        <w:rPr>
          <w:b/>
        </w:rPr>
        <w:t>esteticizem</w:t>
      </w:r>
      <w:r>
        <w:t xml:space="preserve"> – kult telesne in duhovne lepote</w:t>
      </w:r>
    </w:p>
    <w:p w14:paraId="46490623" w14:textId="77777777" w:rsidR="001F3859" w:rsidRDefault="007558A1">
      <w:pPr>
        <w:numPr>
          <w:ilvl w:val="0"/>
          <w:numId w:val="4"/>
        </w:numPr>
        <w:tabs>
          <w:tab w:val="left" w:pos="644"/>
        </w:tabs>
        <w:ind w:left="644"/>
        <w:jc w:val="both"/>
        <w:rPr>
          <w:b/>
        </w:rPr>
      </w:pPr>
      <w:r>
        <w:rPr>
          <w:b/>
        </w:rPr>
        <w:t>človek je najvišja vrednota</w:t>
      </w:r>
    </w:p>
    <w:p w14:paraId="7A7D4AD2" w14:textId="77777777" w:rsidR="001F3859" w:rsidRDefault="001F3859">
      <w:pPr>
        <w:jc w:val="both"/>
        <w:rPr>
          <w:b/>
        </w:rPr>
      </w:pPr>
    </w:p>
    <w:p w14:paraId="33AC5FE3" w14:textId="77777777" w:rsidR="001F3859" w:rsidRDefault="007558A1">
      <w:pPr>
        <w:jc w:val="both"/>
        <w:rPr>
          <w:b/>
        </w:rPr>
      </w:pPr>
      <w:r>
        <w:rPr>
          <w:b/>
        </w:rPr>
        <w:t>Literarne vrste:</w:t>
      </w:r>
    </w:p>
    <w:p w14:paraId="76E75C35" w14:textId="77777777" w:rsidR="001F3859" w:rsidRDefault="007558A1">
      <w:pPr>
        <w:numPr>
          <w:ilvl w:val="0"/>
          <w:numId w:val="1"/>
        </w:numPr>
        <w:tabs>
          <w:tab w:val="left" w:pos="644"/>
        </w:tabs>
        <w:ind w:left="644"/>
        <w:jc w:val="both"/>
      </w:pPr>
      <w:r>
        <w:rPr>
          <w:color w:val="00FFFF"/>
        </w:rPr>
        <w:t>LIRIKA</w:t>
      </w:r>
      <w:r>
        <w:t>: Petrarca, Buonaroti, Shakespeare</w:t>
      </w:r>
    </w:p>
    <w:p w14:paraId="24C947CE" w14:textId="77777777" w:rsidR="001F3859" w:rsidRDefault="007558A1">
      <w:pPr>
        <w:numPr>
          <w:ilvl w:val="0"/>
          <w:numId w:val="1"/>
        </w:numPr>
        <w:tabs>
          <w:tab w:val="left" w:pos="644"/>
        </w:tabs>
        <w:ind w:left="644"/>
        <w:jc w:val="both"/>
      </w:pPr>
      <w:r>
        <w:rPr>
          <w:color w:val="00FFFF"/>
        </w:rPr>
        <w:t>EPIKA</w:t>
      </w:r>
      <w:r>
        <w:t>: novela–Boccaccio, roman (viteški, …)-Cervantes, ep-Aristo</w:t>
      </w:r>
    </w:p>
    <w:p w14:paraId="58D468B3" w14:textId="77777777" w:rsidR="001F3859" w:rsidRDefault="007558A1">
      <w:pPr>
        <w:numPr>
          <w:ilvl w:val="0"/>
          <w:numId w:val="1"/>
        </w:numPr>
        <w:tabs>
          <w:tab w:val="left" w:pos="644"/>
        </w:tabs>
        <w:ind w:left="644"/>
        <w:jc w:val="both"/>
      </w:pPr>
      <w:r>
        <w:rPr>
          <w:color w:val="00FFFF"/>
        </w:rPr>
        <w:t>DRAMATIKA</w:t>
      </w:r>
      <w:r>
        <w:t>: Shakespeare</w:t>
      </w:r>
    </w:p>
    <w:sectPr w:rsidR="001F3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890C" w14:textId="77777777" w:rsidR="005555C9" w:rsidRDefault="005555C9">
      <w:r>
        <w:separator/>
      </w:r>
    </w:p>
  </w:endnote>
  <w:endnote w:type="continuationSeparator" w:id="0">
    <w:p w14:paraId="7EB766C9" w14:textId="77777777" w:rsidR="005555C9" w:rsidRDefault="0055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16A" w14:textId="77777777" w:rsidR="005F17D6" w:rsidRDefault="005F1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8CD8" w14:textId="50907C70" w:rsidR="001F3859" w:rsidRDefault="001F3859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B021" w14:textId="77777777" w:rsidR="005F17D6" w:rsidRDefault="005F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254E" w14:textId="77777777" w:rsidR="005555C9" w:rsidRDefault="005555C9">
      <w:r>
        <w:separator/>
      </w:r>
    </w:p>
  </w:footnote>
  <w:footnote w:type="continuationSeparator" w:id="0">
    <w:p w14:paraId="64514092" w14:textId="77777777" w:rsidR="005555C9" w:rsidRDefault="0055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5FA6" w14:textId="77777777" w:rsidR="005F17D6" w:rsidRDefault="005F1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A739" w14:textId="77777777" w:rsidR="005F17D6" w:rsidRDefault="005F1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D436" w14:textId="77777777" w:rsidR="005F17D6" w:rsidRDefault="005F1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8A1"/>
    <w:rsid w:val="001F3859"/>
    <w:rsid w:val="005555C9"/>
    <w:rsid w:val="005F17D6"/>
    <w:rsid w:val="007558A1"/>
    <w:rsid w:val="0080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B03D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5F17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F17D6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