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F81" w:rsidRDefault="00063D7A">
      <w:pPr>
        <w:pStyle w:val="Heading2"/>
        <w:shd w:val="clear" w:color="auto" w:fill="F8FCFF"/>
        <w:tabs>
          <w:tab w:val="left" w:pos="0"/>
        </w:tabs>
        <w:spacing w:before="0"/>
        <w:rPr>
          <w:rStyle w:val="mw-headline"/>
          <w:rFonts w:ascii="Arial" w:hAnsi="Arial" w:cs="Arial"/>
          <w:sz w:val="24"/>
          <w:szCs w:val="24"/>
          <w:u w:val="single"/>
        </w:rPr>
      </w:pPr>
      <w:bookmarkStart w:id="0" w:name="_GoBack"/>
      <w:bookmarkEnd w:id="0"/>
      <w:r>
        <w:rPr>
          <w:rStyle w:val="mw-headline"/>
          <w:rFonts w:ascii="Arial" w:hAnsi="Arial" w:cs="Arial"/>
          <w:sz w:val="24"/>
          <w:szCs w:val="24"/>
          <w:u w:val="single"/>
        </w:rPr>
        <w:t>Indijska dramatika:</w:t>
      </w:r>
    </w:p>
    <w:p w:rsidR="002A3F81" w:rsidRDefault="00063D7A">
      <w:pPr>
        <w:rPr>
          <w:rFonts w:ascii="Arial" w:hAnsi="Arial" w:cs="Arial"/>
        </w:rPr>
      </w:pPr>
      <w:r>
        <w:rPr>
          <w:rFonts w:ascii="Arial" w:hAnsi="Arial" w:cs="Arial"/>
        </w:rPr>
        <w:t xml:space="preserve">     Na nastanek indijske dramatike verjetno vplivala grška dramatika, še verjetneje pa se je razvila samostojno iz obredov, petja in plesov v templjih. Indijsko dramatiko delimo glede na nastanek na tri obdobja. </w:t>
      </w:r>
    </w:p>
    <w:p w:rsidR="002A3F81" w:rsidRDefault="00063D7A">
      <w:pPr>
        <w:numPr>
          <w:ilvl w:val="0"/>
          <w:numId w:val="2"/>
        </w:numPr>
        <w:tabs>
          <w:tab w:val="left" w:pos="720"/>
        </w:tabs>
        <w:rPr>
          <w:rFonts w:ascii="Arial" w:hAnsi="Arial" w:cs="Arial"/>
        </w:rPr>
      </w:pPr>
      <w:r>
        <w:rPr>
          <w:rFonts w:ascii="Arial" w:hAnsi="Arial" w:cs="Arial"/>
        </w:rPr>
        <w:t xml:space="preserve">Na dramatiko pred Kalidaso, </w:t>
      </w:r>
    </w:p>
    <w:p w:rsidR="002A3F81" w:rsidRDefault="00063D7A">
      <w:pPr>
        <w:numPr>
          <w:ilvl w:val="0"/>
          <w:numId w:val="2"/>
        </w:numPr>
        <w:tabs>
          <w:tab w:val="left" w:pos="720"/>
        </w:tabs>
        <w:rPr>
          <w:rFonts w:ascii="Arial" w:hAnsi="Arial" w:cs="Arial"/>
        </w:rPr>
      </w:pPr>
      <w:r>
        <w:rPr>
          <w:rFonts w:ascii="Arial" w:hAnsi="Arial" w:cs="Arial"/>
        </w:rPr>
        <w:t xml:space="preserve">dramatiko klasične dobe (ta doseže vrhunec s pesnikom in dramatikom Kalidaso) </w:t>
      </w:r>
    </w:p>
    <w:p w:rsidR="002A3F81" w:rsidRDefault="00063D7A">
      <w:pPr>
        <w:numPr>
          <w:ilvl w:val="0"/>
          <w:numId w:val="2"/>
        </w:numPr>
        <w:tabs>
          <w:tab w:val="left" w:pos="720"/>
        </w:tabs>
        <w:rPr>
          <w:rFonts w:ascii="Arial" w:hAnsi="Arial" w:cs="Arial"/>
        </w:rPr>
      </w:pPr>
      <w:r>
        <w:rPr>
          <w:rFonts w:ascii="Arial" w:hAnsi="Arial" w:cs="Arial"/>
        </w:rPr>
        <w:t xml:space="preserve">in v dramatiko po Kalidasi. </w:t>
      </w:r>
    </w:p>
    <w:p w:rsidR="002A3F81" w:rsidRDefault="00063D7A">
      <w:pPr>
        <w:ind w:firstLine="360"/>
        <w:rPr>
          <w:rFonts w:ascii="Arial" w:hAnsi="Arial" w:cs="Arial"/>
        </w:rPr>
      </w:pPr>
      <w:r>
        <w:rPr>
          <w:rFonts w:ascii="Arial" w:hAnsi="Arial" w:cs="Arial"/>
        </w:rPr>
        <w:t xml:space="preserve">Poleg klasične dramatike, je še ljudska. Skupine ljudskih pevcev so hodile od vasi do vasi in recitirale znano indijsko epiko, poleg njih pa so hodili še igralci, ki so improvizirali. Dramatiki so v svojih delih prikazovali delovanje zakona »karma«, ki obstaja v tem, da vsako dobro dejanje človeku prinese srečo, zlo dejanje pa nesrečo.               </w:t>
      </w:r>
    </w:p>
    <w:p w:rsidR="002A3F81" w:rsidRDefault="00063D7A">
      <w:pPr>
        <w:ind w:firstLine="360"/>
        <w:rPr>
          <w:rFonts w:ascii="Arial" w:hAnsi="Arial" w:cs="Arial"/>
        </w:rPr>
      </w:pPr>
      <w:r>
        <w:rPr>
          <w:rFonts w:ascii="Arial" w:hAnsi="Arial" w:cs="Arial"/>
        </w:rPr>
        <w:t xml:space="preserve">Pomembnejši indijski dramski avtorji so bili Bhasa, Šudraka, Kalidasa in Bhavabhuti. Kalidasi, ki je živel v 5. stol. n.št., pripisujeju troje dramskih del: </w:t>
      </w:r>
    </w:p>
    <w:p w:rsidR="002A3F81" w:rsidRDefault="00063D7A">
      <w:pPr>
        <w:numPr>
          <w:ilvl w:val="0"/>
          <w:numId w:val="3"/>
        </w:numPr>
        <w:tabs>
          <w:tab w:val="left" w:pos="720"/>
        </w:tabs>
        <w:rPr>
          <w:rFonts w:ascii="Arial" w:hAnsi="Arial" w:cs="Arial"/>
        </w:rPr>
      </w:pPr>
      <w:r>
        <w:rPr>
          <w:rFonts w:ascii="Arial" w:hAnsi="Arial" w:cs="Arial"/>
        </w:rPr>
        <w:t>Malaviko in Agnimitro,</w:t>
      </w:r>
    </w:p>
    <w:p w:rsidR="002A3F81" w:rsidRDefault="00063D7A">
      <w:pPr>
        <w:numPr>
          <w:ilvl w:val="0"/>
          <w:numId w:val="3"/>
        </w:numPr>
        <w:tabs>
          <w:tab w:val="left" w:pos="720"/>
        </w:tabs>
        <w:rPr>
          <w:rFonts w:ascii="Arial" w:hAnsi="Arial" w:cs="Arial"/>
        </w:rPr>
      </w:pPr>
      <w:r>
        <w:rPr>
          <w:rFonts w:ascii="Arial" w:hAnsi="Arial" w:cs="Arial"/>
        </w:rPr>
        <w:t xml:space="preserve">Urvaši </w:t>
      </w:r>
    </w:p>
    <w:p w:rsidR="002A3F81" w:rsidRDefault="00063D7A">
      <w:pPr>
        <w:numPr>
          <w:ilvl w:val="0"/>
          <w:numId w:val="3"/>
        </w:numPr>
        <w:tabs>
          <w:tab w:val="left" w:pos="720"/>
        </w:tabs>
        <w:rPr>
          <w:rFonts w:ascii="Arial" w:hAnsi="Arial" w:cs="Arial"/>
        </w:rPr>
      </w:pPr>
      <w:r>
        <w:rPr>
          <w:rFonts w:ascii="Arial" w:hAnsi="Arial" w:cs="Arial"/>
        </w:rPr>
        <w:t xml:space="preserve">in Šakuntalo. </w:t>
      </w:r>
    </w:p>
    <w:p w:rsidR="002A3F81" w:rsidRDefault="00063D7A">
      <w:pPr>
        <w:rPr>
          <w:rFonts w:ascii="Arial" w:hAnsi="Arial" w:cs="Arial"/>
        </w:rPr>
      </w:pPr>
      <w:r>
        <w:rPr>
          <w:rFonts w:ascii="Arial" w:hAnsi="Arial" w:cs="Arial"/>
        </w:rPr>
        <w:t xml:space="preserve">     Slednja velja za vrh Indijske dramatike in je napisana po zgodbi iz Mahabharate.</w:t>
      </w:r>
    </w:p>
    <w:p w:rsidR="002A3F81" w:rsidRDefault="002A3F81">
      <w:pPr>
        <w:rPr>
          <w:rFonts w:ascii="Arial" w:hAnsi="Arial" w:cs="Arial"/>
        </w:rPr>
      </w:pPr>
    </w:p>
    <w:p w:rsidR="002A3F81" w:rsidRDefault="00063D7A">
      <w:pPr>
        <w:rPr>
          <w:rFonts w:ascii="Arial" w:hAnsi="Arial" w:cs="Arial"/>
          <w:iCs/>
        </w:rPr>
      </w:pPr>
      <w:r>
        <w:rPr>
          <w:rFonts w:ascii="Arial" w:hAnsi="Arial" w:cs="Arial"/>
          <w:iCs/>
        </w:rPr>
        <w:t xml:space="preserve">     Posebnih gledališč niso gradili, ampak so igre uprizarjali v dvorskih dvoranah.      </w:t>
      </w:r>
    </w:p>
    <w:p w:rsidR="002A3F81" w:rsidRDefault="00063D7A">
      <w:pPr>
        <w:rPr>
          <w:rFonts w:ascii="Arial" w:hAnsi="Arial" w:cs="Arial"/>
          <w:iCs/>
        </w:rPr>
      </w:pPr>
      <w:r>
        <w:rPr>
          <w:rFonts w:ascii="Arial" w:hAnsi="Arial" w:cs="Arial"/>
          <w:iCs/>
        </w:rPr>
        <w:t xml:space="preserve">     Ohranilo se je približno 60 dramskih del, ki so nastala od leta 100 pr. n. š. do leta 600 n. š., večinoma po letu 400.</w:t>
      </w:r>
    </w:p>
    <w:p w:rsidR="002A3F81" w:rsidRDefault="002A3F81">
      <w:pPr>
        <w:rPr>
          <w:rFonts w:ascii="Arial" w:hAnsi="Arial" w:cs="Arial"/>
        </w:rPr>
      </w:pPr>
    </w:p>
    <w:p w:rsidR="002A3F81" w:rsidRDefault="00063D7A">
      <w:pPr>
        <w:pStyle w:val="botjan2"/>
        <w:jc w:val="both"/>
        <w:rPr>
          <w:rFonts w:ascii="Arial" w:hAnsi="Arial" w:cs="Arial"/>
          <w:b w:val="0"/>
          <w:i w:val="0"/>
          <w:shadow w:val="0"/>
          <w:color w:val="auto"/>
          <w:sz w:val="24"/>
          <w:szCs w:val="24"/>
          <w:u w:val="single"/>
        </w:rPr>
      </w:pPr>
      <w:r>
        <w:rPr>
          <w:rFonts w:ascii="Arial" w:hAnsi="Arial" w:cs="Arial"/>
          <w:b w:val="0"/>
          <w:i w:val="0"/>
          <w:shadow w:val="0"/>
          <w:color w:val="auto"/>
          <w:sz w:val="24"/>
          <w:szCs w:val="24"/>
          <w:u w:val="single"/>
        </w:rPr>
        <w:t>Japonska dramatika:</w:t>
      </w:r>
    </w:p>
    <w:p w:rsidR="002A3F81" w:rsidRDefault="002A3F81">
      <w:pPr>
        <w:pStyle w:val="botjan2"/>
        <w:jc w:val="both"/>
        <w:rPr>
          <w:rFonts w:ascii="Arial" w:hAnsi="Arial" w:cs="Arial"/>
          <w:b w:val="0"/>
          <w:i w:val="0"/>
          <w:color w:val="auto"/>
          <w:sz w:val="24"/>
          <w:szCs w:val="24"/>
        </w:rPr>
      </w:pPr>
    </w:p>
    <w:p w:rsidR="002A3F81" w:rsidRDefault="00063D7A">
      <w:pPr>
        <w:autoSpaceDE w:val="0"/>
        <w:jc w:val="both"/>
        <w:rPr>
          <w:rFonts w:ascii="Arial" w:hAnsi="Arial" w:cs="Arial"/>
        </w:rPr>
      </w:pPr>
      <w:r>
        <w:rPr>
          <w:rFonts w:ascii="Arial" w:hAnsi="Arial" w:cs="Arial"/>
        </w:rPr>
        <w:t xml:space="preserve">     Med mnogimi zvrstmi japonske drame je najizvirnejša japonska dramatska oblika igre-no, ki je kratka lirsko-epske spevoigra s snovjo, vzeto iz mitov, legend in bajk, ki ohranja številne značilnosti obrednih iger. Izvajata jih dva igralca na odru brez kulis in rekvizitov. Do danes se je ohranilo 264 No-iger, ki so nastale od 14. do 16. stoletja.      </w:t>
      </w:r>
    </w:p>
    <w:p w:rsidR="002A3F81" w:rsidRDefault="00063D7A">
      <w:pPr>
        <w:autoSpaceDE w:val="0"/>
        <w:jc w:val="both"/>
        <w:rPr>
          <w:rFonts w:ascii="Arial" w:hAnsi="Arial" w:cs="Arial"/>
          <w:lang w:val="en"/>
        </w:rPr>
      </w:pPr>
      <w:r>
        <w:rPr>
          <w:rFonts w:ascii="Arial" w:hAnsi="Arial" w:cs="Arial"/>
        </w:rPr>
        <w:t xml:space="preserve">     Poleg no-iger, ki so izrazito obredne in stilizirane, se je polagoma razvilo bolj »meščansko« gledališče, imenovano Kabuki. Igralci Kabukija še danes pri igri uporabljajo star japonski jezik, ki ni več v uporabi in ga težko razumejo celo Japonci. Med igro govorijo monotono, spremljajo pa jih tradicionalna japonska glasbila. Na začetku so v gledališču Kabuki igrale samo ženske, od 18. stol. Dalje, ko jim je bila igra prepovedana pa nastopajo samo moški- tudi ženske vloge. Gledališče Kabuki je prav tako na Unescovem seznamu. </w:t>
      </w:r>
      <w:r>
        <w:rPr>
          <w:rFonts w:ascii="Arial" w:hAnsi="Arial" w:cs="Arial"/>
          <w:lang w:val="en"/>
        </w:rPr>
        <w:t xml:space="preserve">Kabuki was enlisted on the </w:t>
      </w:r>
      <w:hyperlink r:id="rId5" w:history="1">
        <w:r>
          <w:rPr>
            <w:rStyle w:val="Hyperlink"/>
            <w:rFonts w:ascii="Arial" w:hAnsi="Arial"/>
          </w:rPr>
          <w:t>UNESCO</w:t>
        </w:r>
      </w:hyperlink>
      <w:r>
        <w:rPr>
          <w:rFonts w:ascii="Arial" w:hAnsi="Arial" w:cs="Arial"/>
          <w:lang w:val="en"/>
        </w:rPr>
        <w:t xml:space="preserve">'s 'Third Proclamation of </w:t>
      </w:r>
      <w:hyperlink r:id="rId6" w:history="1">
        <w:r>
          <w:rPr>
            <w:rStyle w:val="Hyperlink"/>
            <w:rFonts w:ascii="Arial" w:hAnsi="Arial"/>
          </w:rPr>
          <w:t>Masterpieces of the Oral and Intangible Heritage of Humanity</w:t>
        </w:r>
      </w:hyperlink>
      <w:r>
        <w:rPr>
          <w:rFonts w:ascii="Arial" w:hAnsi="Arial" w:cs="Arial"/>
          <w:lang w:val="en"/>
        </w:rPr>
        <w:t xml:space="preserve">' on </w:t>
      </w:r>
      <w:hyperlink r:id="rId7" w:history="1">
        <w:r>
          <w:rPr>
            <w:rStyle w:val="Hyperlink"/>
            <w:rFonts w:ascii="Arial" w:hAnsi="Arial"/>
          </w:rPr>
          <w:t>24 November</w:t>
        </w:r>
      </w:hyperlink>
      <w:r>
        <w:rPr>
          <w:rFonts w:ascii="Arial" w:hAnsi="Arial" w:cs="Arial"/>
          <w:lang w:val="en"/>
        </w:rPr>
        <w:t xml:space="preserve"> </w:t>
      </w:r>
      <w:hyperlink r:id="rId8" w:history="1">
        <w:r>
          <w:rPr>
            <w:rStyle w:val="Hyperlink"/>
            <w:rFonts w:ascii="Arial" w:hAnsi="Arial"/>
          </w:rPr>
          <w:t>2005</w:t>
        </w:r>
      </w:hyperlink>
      <w:r>
        <w:rPr>
          <w:rFonts w:ascii="Arial" w:hAnsi="Arial" w:cs="Arial"/>
          <w:lang w:val="en"/>
        </w:rPr>
        <w:t>.</w:t>
      </w:r>
    </w:p>
    <w:p w:rsidR="002A3F81" w:rsidRDefault="002A3F81">
      <w:pPr>
        <w:autoSpaceDE w:val="0"/>
        <w:jc w:val="both"/>
        <w:rPr>
          <w:rFonts w:ascii="Arial" w:hAnsi="Arial" w:cs="Arial"/>
        </w:rPr>
      </w:pPr>
    </w:p>
    <w:p w:rsidR="002A3F81" w:rsidRDefault="00063D7A">
      <w:pPr>
        <w:autoSpaceDE w:val="0"/>
        <w:jc w:val="both"/>
        <w:rPr>
          <w:rFonts w:ascii="Arial" w:hAnsi="Arial" w:cs="Arial"/>
          <w:u w:val="single"/>
        </w:rPr>
      </w:pPr>
      <w:r>
        <w:rPr>
          <w:rFonts w:ascii="Arial" w:hAnsi="Arial" w:cs="Arial"/>
          <w:u w:val="single"/>
        </w:rPr>
        <w:t>Kitajska dramatika:</w:t>
      </w:r>
    </w:p>
    <w:p w:rsidR="002A3F81" w:rsidRDefault="002A3F81">
      <w:pPr>
        <w:autoSpaceDE w:val="0"/>
        <w:jc w:val="both"/>
        <w:rPr>
          <w:rFonts w:ascii="Arial" w:hAnsi="Arial" w:cs="Arial"/>
          <w:u w:val="single"/>
        </w:rPr>
      </w:pPr>
    </w:p>
    <w:p w:rsidR="002A3F81" w:rsidRDefault="00063D7A">
      <w:pPr>
        <w:autoSpaceDE w:val="0"/>
        <w:jc w:val="both"/>
        <w:rPr>
          <w:rFonts w:ascii="Arial" w:hAnsi="Arial" w:cs="Arial"/>
        </w:rPr>
      </w:pPr>
      <w:r>
        <w:rPr>
          <w:rFonts w:ascii="Arial" w:hAnsi="Arial" w:cs="Arial"/>
        </w:rPr>
        <w:t xml:space="preserve">     Kitajska drama se je verjetno razvila iz obrednih pesmi in plesov, ki segajo še v obdobje pr.n.št., vendar se je prava dramatika razvila šele v 13. stol. Prepleta se z petimi lirskimi pesmimi, zato spominja na spevoigro in opero. Spevoigra je</w:t>
      </w:r>
    </w:p>
    <w:p w:rsidR="002A3F81" w:rsidRDefault="00063D7A">
      <w:pPr>
        <w:autoSpaceDE w:val="0"/>
        <w:jc w:val="both"/>
        <w:rPr>
          <w:rFonts w:ascii="Arial" w:hAnsi="Arial" w:cs="Arial"/>
          <w:color w:val="000000"/>
        </w:rPr>
      </w:pPr>
      <w:r>
        <w:rPr>
          <w:rFonts w:ascii="Arial" w:hAnsi="Arial" w:cs="Arial"/>
        </w:rPr>
        <w:t xml:space="preserve">     </w:t>
      </w:r>
      <w:r>
        <w:rPr>
          <w:rFonts w:ascii="Arial" w:hAnsi="Arial" w:cs="Arial"/>
          <w:color w:val="000000"/>
        </w:rPr>
        <w:t xml:space="preserve">Za največjega dramatika klasične dramske dobe velja Kuan-han-king. Najpopularnejše delo tega stoletja je igra »Zgodba o zahodni sobi«. Delo je tipična spevoigra. Prav tako cenijo Kitajci igro »Zgodba o lutnji«. V Evropi zelo znani sta dramski deli »Sirota iz družine Čao« in »Krog s kredo«. </w:t>
      </w:r>
    </w:p>
    <w:p w:rsidR="002A3F81" w:rsidRDefault="002A3F81">
      <w:pPr>
        <w:rPr>
          <w:rFonts w:ascii="Arial" w:hAnsi="Arial" w:cs="Arial"/>
          <w:color w:val="000000"/>
        </w:rPr>
      </w:pPr>
    </w:p>
    <w:sectPr w:rsidR="002A3F81">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3D7A"/>
    <w:rsid w:val="00063D7A"/>
    <w:rsid w:val="002A3F81"/>
    <w:rsid w:val="00FE61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BodyText"/>
    <w:qFormat/>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Privzetapisavaodstavka">
    <w:name w:val="Privzeta pisava odstavka"/>
  </w:style>
  <w:style w:type="character" w:styleId="Hyperlink">
    <w:name w:val="Hyperlink"/>
    <w:basedOn w:val="Privzetapisavaodstavka"/>
    <w:semiHidden/>
    <w:rPr>
      <w:color w:val="0000FF"/>
      <w:u w:val="single"/>
    </w:rPr>
  </w:style>
  <w:style w:type="character" w:customStyle="1" w:styleId="editsection2">
    <w:name w:val="editsection2"/>
    <w:basedOn w:val="Privzetapisavaodstavka"/>
  </w:style>
  <w:style w:type="character" w:customStyle="1" w:styleId="mw-headline">
    <w:name w:val="mw-headline"/>
    <w:basedOn w:val="Privzetapisavaodstavka"/>
  </w:style>
  <w:style w:type="character" w:customStyle="1" w:styleId="FootnoteCharacters">
    <w:name w:val="Footnote Characters"/>
    <w:basedOn w:val="Privzetapisavaodstavka"/>
    <w:rPr>
      <w:vertAlign w:val="superscript"/>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 w:type="paragraph" w:customStyle="1" w:styleId="botjan2">
    <w:name w:val="boštjan 2"/>
    <w:basedOn w:val="Normal"/>
    <w:rPr>
      <w:rFonts w:ascii="Palatino Linotype" w:hAnsi="Palatino Linotype"/>
      <w:b/>
      <w:i/>
      <w:shadow/>
      <w:color w:val="000080"/>
      <w:sz w:val="32"/>
      <w:szCs w:val="32"/>
    </w:rPr>
  </w:style>
  <w:style w:type="paragraph" w:styleId="FootnoteText">
    <w:name w:val="footnote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2005" TargetMode="External"/><Relationship Id="rId3" Type="http://schemas.openxmlformats.org/officeDocument/2006/relationships/settings" Target="settings.xml"/><Relationship Id="rId7" Type="http://schemas.openxmlformats.org/officeDocument/2006/relationships/hyperlink" Target="http://en.wikipedia.org/wiki/November_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asterpieces_of_the_Oral_and_Intangible_Heritage_of_Humanity" TargetMode="External"/><Relationship Id="rId5" Type="http://schemas.openxmlformats.org/officeDocument/2006/relationships/hyperlink" Target="http://en.wikipedia.org/wiki/UNES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