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22" w:rsidRDefault="0068497D">
      <w:pPr>
        <w:jc w:val="center"/>
        <w:rPr>
          <w:b/>
          <w:bCs/>
          <w:sz w:val="80"/>
          <w:szCs w:val="80"/>
        </w:rPr>
      </w:pPr>
      <w:bookmarkStart w:id="0" w:name="_GoBack"/>
      <w:bookmarkEnd w:id="0"/>
      <w:r>
        <w:rPr>
          <w:b/>
          <w:bCs/>
          <w:sz w:val="80"/>
          <w:szCs w:val="80"/>
        </w:rPr>
        <w:t>Vrste besedil</w:t>
      </w:r>
    </w:p>
    <w:p w:rsidR="004D1722" w:rsidRDefault="004D1722"/>
    <w:p w:rsidR="004D1722" w:rsidRDefault="0068497D">
      <w:r>
        <w:t>Besedila lahko opazujemo iz različnih vidikov, in jih glede na to kako jih opazujemo delimo v več skupin. Pri obravnavi besedil je potrebno posvetiti pozornost različnim sestavinam, zato ločimo več besedil: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umetnostna in neumetnostna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govorjena in zapisana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enogovorna in dvogovorna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subjektivna in objektivna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zasebna in javna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uradna in neuradna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praktičnosporazumevalna, uradovalna, strokovna in publicistična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prikazovalna, zagotavljalna, vrednotenjska, čustvena, pozivna, poizvedovalna, povezovalna in izvršilna</w:t>
      </w:r>
    </w:p>
    <w:p w:rsidR="004D1722" w:rsidRDefault="0068497D">
      <w:pPr>
        <w:numPr>
          <w:ilvl w:val="0"/>
          <w:numId w:val="1"/>
        </w:numPr>
        <w:tabs>
          <w:tab w:val="left" w:pos="720"/>
        </w:tabs>
      </w:pPr>
      <w:r>
        <w:t>obveščevalna, opisovalna, pripovedovalna, razlagalna in utemeljevalna</w:t>
      </w:r>
    </w:p>
    <w:sectPr w:rsidR="004D172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97D"/>
    <w:rsid w:val="004D1722"/>
    <w:rsid w:val="0068497D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