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286" w:rsidRDefault="00B8780D" w:rsidP="00295D53">
      <w:pPr>
        <w:jc w:val="center"/>
      </w:pPr>
      <w:bookmarkStart w:id="0" w:name="_GoBack"/>
      <w:bookmarkEnd w:id="0"/>
      <w:r>
        <w:rPr>
          <w:noProof/>
        </w:rPr>
        <w:pict>
          <v:rect id="_x0000_s1028" style="position:absolute;left:0;text-align:left;margin-left:234pt;margin-top:-18pt;width:207pt;height:45pt;z-index:251652096" filled="f" fillcolor="#fc9">
            <v:fill rotate="t"/>
            <v:textbox>
              <w:txbxContent>
                <w:p w:rsidR="00F7449B" w:rsidRPr="001C3E6F" w:rsidRDefault="00F7449B" w:rsidP="00F7449B">
                  <w:pPr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 w:rsidRPr="001C3E6F">
                    <w:rPr>
                      <w:rFonts w:ascii="Arial Black" w:hAnsi="Arial Black"/>
                      <w:b/>
                      <w:sz w:val="28"/>
                      <w:szCs w:val="28"/>
                    </w:rPr>
                    <w:t>DRUŽBENA GIBLJIVOST</w:t>
                  </w:r>
                  <w:r w:rsidR="00D24D99" w:rsidRPr="001C3E6F">
                    <w:rPr>
                      <w:rFonts w:ascii="Arial Black" w:hAnsi="Arial Black"/>
                      <w:b/>
                      <w:sz w:val="28"/>
                      <w:szCs w:val="28"/>
                    </w:rPr>
                    <w:t xml:space="preserve"> ali MOBILNOST</w:t>
                  </w:r>
                </w:p>
              </w:txbxContent>
            </v:textbox>
          </v:rect>
        </w:pict>
      </w:r>
      <w:r>
        <w:rPr>
          <w:noProof/>
        </w:rPr>
        <w:pict>
          <v:line id="_x0000_s1063" style="position:absolute;left:0;text-align:left;z-index:251654144" from="611.85pt,17.8pt" to="621pt,27pt">
            <v:stroke endarrow="block"/>
          </v:line>
        </w:pict>
      </w:r>
      <w:r>
        <w:rPr>
          <w:noProof/>
        </w:rPr>
        <w:pict>
          <v:line id="_x0000_s1064" style="position:absolute;left:0;text-align:left;flip:x;z-index:251655168" from="522pt,17.8pt" to="530.9pt,27pt">
            <v:stroke endarrow="block"/>
          </v:line>
        </w:pict>
      </w:r>
      <w:r>
        <w:rPr>
          <w:noProof/>
        </w:rPr>
        <w:pict>
          <v:rect id="_x0000_s1032" style="position:absolute;left:0;text-align:left;margin-left:513.15pt;margin-top:-9pt;width:116.95pt;height:26.75pt;z-index:251653120" strokeweight="1pt">
            <v:fill rotate="t"/>
            <v:textbox style="mso-next-textbox:#_x0000_s1032">
              <w:txbxContent>
                <w:p w:rsidR="00F7449B" w:rsidRPr="001C3E6F" w:rsidRDefault="00F7449B" w:rsidP="003717E6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26"/>
                      <w:szCs w:val="26"/>
                    </w:rPr>
                  </w:pPr>
                  <w:r w:rsidRPr="001C3E6F">
                    <w:rPr>
                      <w:rFonts w:ascii="Bookman Old Style" w:hAnsi="Bookman Old Style"/>
                      <w:b/>
                      <w:i/>
                      <w:sz w:val="26"/>
                      <w:szCs w:val="26"/>
                    </w:rPr>
                    <w:t>VERTIKALNA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left:0;text-align:left;margin-left:134.75pt;margin-top:44.95pt;width:2in;height:36.45pt;z-index:251658240">
            <v:textbox style="mso-next-textbox:#_x0000_s1035">
              <w:txbxContent>
                <w:p w:rsidR="0024534B" w:rsidRPr="00662360" w:rsidRDefault="0024534B" w:rsidP="003717E6">
                  <w:pPr>
                    <w:jc w:val="center"/>
                    <w:rPr>
                      <w:rFonts w:ascii="Garamond" w:hAnsi="Garamond"/>
                      <w:b/>
                    </w:rPr>
                  </w:pPr>
                  <w:r w:rsidRPr="00662360">
                    <w:rPr>
                      <w:rFonts w:ascii="Garamond" w:hAnsi="Garamond"/>
                      <w:b/>
                    </w:rPr>
                    <w:t>ZNOTRAJSLOJEVSKE</w:t>
                  </w:r>
                </w:p>
                <w:p w:rsidR="0024534B" w:rsidRPr="00662360" w:rsidRDefault="0024534B" w:rsidP="003717E6">
                  <w:pPr>
                    <w:jc w:val="center"/>
                    <w:rPr>
                      <w:rFonts w:ascii="Garamond" w:hAnsi="Garamond"/>
                      <w:b/>
                    </w:rPr>
                  </w:pPr>
                  <w:r w:rsidRPr="00662360">
                    <w:rPr>
                      <w:rFonts w:ascii="Garamond" w:hAnsi="Garamond"/>
                      <w:b/>
                    </w:rPr>
                    <w:t>MIGRACIJE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5" style="position:absolute;left:0;text-align:left;margin-left:-.45pt;margin-top:81.4pt;width:117.3pt;height:35.8pt;z-index:251659264">
            <v:textbox style="mso-next-textbox:#_x0000_s1045">
              <w:txbxContent>
                <w:p w:rsidR="005227BC" w:rsidRDefault="005227BC" w:rsidP="003717E6">
                  <w:pPr>
                    <w:jc w:val="center"/>
                  </w:pPr>
                  <w:r>
                    <w:t>Stalna ali začasna selitev v drugi kraj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6" style="position:absolute;left:0;text-align:left;margin-left:151.9pt;margin-top:81.4pt;width:108pt;height:63pt;z-index:251660288">
            <v:textbox style="mso-next-textbox:#_x0000_s1046">
              <w:txbxContent>
                <w:p w:rsidR="005227BC" w:rsidRDefault="005227BC" w:rsidP="003717E6">
                  <w:pPr>
                    <w:jc w:val="center"/>
                  </w:pPr>
                  <w:r>
                    <w:t>Človek ostaja znotraj istega sloja, status se ne spreminja</w:t>
                  </w:r>
                </w:p>
              </w:txbxContent>
            </v:textbox>
          </v:rect>
        </w:pict>
      </w:r>
      <w:r>
        <w:rPr>
          <w:noProof/>
        </w:rPr>
        <w:pict>
          <v:line id="_x0000_s1061" style="position:absolute;left:0;text-align:left;flip:x;z-index:251661312" from="70.95pt,18.25pt" to="79.9pt,36.15pt">
            <v:stroke endarrow="block"/>
          </v:line>
        </w:pict>
      </w:r>
      <w:r>
        <w:rPr>
          <w:noProof/>
        </w:rPr>
        <w:pict>
          <v:line id="_x0000_s1062" style="position:absolute;left:0;text-align:left;z-index:251662336" from="151.9pt,18.25pt" to="169.9pt,36.15pt">
            <v:stroke endarrow="block"/>
          </v:line>
        </w:pict>
      </w:r>
      <w:r>
        <w:rPr>
          <w:noProof/>
        </w:rPr>
        <w:pict>
          <v:rect id="_x0000_s1031" style="position:absolute;left:0;text-align:left;margin-left:53.85pt;margin-top:-9pt;width:134.85pt;height:27.05pt;z-index:251656192" strokeweight="1pt">
            <v:fill rotate="t"/>
            <v:textbox style="mso-next-textbox:#_x0000_s1031">
              <w:txbxContent>
                <w:p w:rsidR="00F7449B" w:rsidRPr="001C3E6F" w:rsidRDefault="00F7449B" w:rsidP="003717E6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26"/>
                      <w:szCs w:val="26"/>
                    </w:rPr>
                  </w:pPr>
                  <w:r w:rsidRPr="001C3E6F">
                    <w:rPr>
                      <w:rFonts w:ascii="Bookman Old Style" w:hAnsi="Bookman Old Style"/>
                      <w:b/>
                      <w:i/>
                      <w:sz w:val="26"/>
                      <w:szCs w:val="26"/>
                    </w:rPr>
                    <w:t>HORIZONTALNA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left:0;text-align:left;margin-left:8.6pt;margin-top:44.95pt;width:98.95pt;height:36.6pt;z-index:251657216">
            <v:textbox style="mso-next-textbox:#_x0000_s1034">
              <w:txbxContent>
                <w:p w:rsidR="0024534B" w:rsidRPr="00662360" w:rsidRDefault="0024534B" w:rsidP="00662360">
                  <w:pPr>
                    <w:jc w:val="center"/>
                    <w:rPr>
                      <w:rFonts w:ascii="Garamond" w:hAnsi="Garamond"/>
                      <w:b/>
                    </w:rPr>
                  </w:pPr>
                  <w:r w:rsidRPr="00662360">
                    <w:rPr>
                      <w:rFonts w:ascii="Garamond" w:hAnsi="Garamond"/>
                      <w:b/>
                    </w:rPr>
                    <w:t>PROSTORSKE</w:t>
                  </w:r>
                </w:p>
                <w:p w:rsidR="0024534B" w:rsidRPr="00662360" w:rsidRDefault="0024534B" w:rsidP="00662360">
                  <w:pPr>
                    <w:jc w:val="center"/>
                    <w:rPr>
                      <w:rFonts w:ascii="Garamond" w:hAnsi="Garamond"/>
                      <w:b/>
                    </w:rPr>
                  </w:pPr>
                  <w:r w:rsidRPr="00662360">
                    <w:rPr>
                      <w:rFonts w:ascii="Garamond" w:hAnsi="Garamond"/>
                      <w:b/>
                    </w:rPr>
                    <w:t>MIGRACIJE</w:t>
                  </w:r>
                </w:p>
              </w:txbxContent>
            </v:textbox>
          </v:rect>
        </w:pict>
      </w:r>
      <w:r>
        <w:pict>
          <v:group id="_x0000_s1030" editas="canvas" style="width:10in;height:7in;mso-position-horizontal-relative:char;mso-position-vertical-relative:line" coordorigin="4558,2616" coordsize="7481,52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4558;top:2616;width:7481;height:5260" o:preferrelative="f">
              <v:fill o:detectmouseclick="t"/>
              <v:path o:extrusionok="t" o:connecttype="none"/>
              <o:lock v:ext="edit" text="t"/>
            </v:shape>
            <v:rect id="_x0000_s1066" style="position:absolute;left:4652;top:4964;width:2614;height:848">
              <v:textbox style="mso-next-textbox:#_x0000_s1066">
                <w:txbxContent>
                  <w:p w:rsidR="00EC65B1" w:rsidRDefault="00EC65B1" w:rsidP="00DD1ABF">
                    <w:pPr>
                      <w:jc w:val="center"/>
                    </w:pPr>
                    <w:r w:rsidRPr="00EC65B1">
                      <w:rPr>
                        <w:b/>
                      </w:rPr>
                      <w:t>SREDSTVA</w:t>
                    </w:r>
                    <w:r w:rsidR="00546652">
                      <w:rPr>
                        <w:b/>
                      </w:rPr>
                      <w:t xml:space="preserve"> VERTIKALNE G</w:t>
                    </w:r>
                    <w:r w:rsidR="00F941EF">
                      <w:rPr>
                        <w:b/>
                      </w:rPr>
                      <w:t>.</w:t>
                    </w:r>
                    <w:r w:rsidRPr="00EC65B1">
                      <w:rPr>
                        <w:b/>
                      </w:rPr>
                      <w:t>:</w:t>
                    </w:r>
                    <w:r>
                      <w:t xml:space="preserve"> so najrazličnejše skupine, društva, organizacije ali ustanove, ki posamezniku omogočajo pridobiti si višji položaj v družbi ali pa nasprotno ovirajo njegovo gibljivost navzgor.</w:t>
                    </w:r>
                  </w:p>
                </w:txbxContent>
              </v:textbox>
            </v:rect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69" type="#_x0000_t67" style="position:absolute;left:7768;top:4184;width:410;height:1219;rotation:4648374fd" fillcolor="#ddd"/>
            <v:line id="_x0000_s1093" style="position:absolute;flip:x" from="6615,2616" to="6989,2617">
              <v:stroke endarrow="block"/>
            </v:line>
            <v:rect id="_x0000_s1091" style="position:absolute;left:7550;top:2854;width:936;height:1453">
              <v:textbox style="mso-next-textbox:#_x0000_s1091">
                <w:txbxContent>
                  <w:p w:rsidR="008A4CEA" w:rsidRDefault="008A4CEA" w:rsidP="00DD1ABF">
                    <w:pPr>
                      <w:jc w:val="center"/>
                    </w:pPr>
                    <w:r>
                      <w:t xml:space="preserve">Prehajanje posameznikov, skupin ali slojev z enega na drugi, podrejeni ali nadrejeni, položaj istega tipa. </w:t>
                    </w:r>
                  </w:p>
                </w:txbxContent>
              </v:textbox>
            </v:rect>
            <v:line id="_x0000_s1092" style="position:absolute" from="9140,2616" to="9795,2617">
              <v:stroke endarrow="block"/>
            </v:line>
            <v:rect id="_x0000_s1073" style="position:absolute;left:5403;top:6185;width:1585;height:282">
              <v:textbox style="mso-next-textbox:#_x0000_s1073">
                <w:txbxContent>
                  <w:p w:rsidR="0059650F" w:rsidRPr="00A3378D" w:rsidRDefault="0059650F" w:rsidP="00DD1ABF">
                    <w:pPr>
                      <w:jc w:val="center"/>
                      <w:rPr>
                        <w:rFonts w:ascii="Garamond" w:hAnsi="Garamond"/>
                        <w:b/>
                      </w:rPr>
                    </w:pPr>
                    <w:r w:rsidRPr="00A3378D">
                      <w:rPr>
                        <w:rFonts w:ascii="Garamond" w:hAnsi="Garamond"/>
                        <w:b/>
                      </w:rPr>
                      <w:t>POSPEŠEVALNI VPLIV</w:t>
                    </w:r>
                  </w:p>
                </w:txbxContent>
              </v:textbox>
            </v:rect>
            <v:rect id="_x0000_s1074" style="position:absolute;left:10262;top:5997;width:1309;height:282">
              <v:textbox style="mso-next-textbox:#_x0000_s1074">
                <w:txbxContent>
                  <w:p w:rsidR="0059650F" w:rsidRPr="00A3378D" w:rsidRDefault="0059650F" w:rsidP="00DD1ABF">
                    <w:pPr>
                      <w:jc w:val="center"/>
                      <w:rPr>
                        <w:rFonts w:ascii="Garamond" w:hAnsi="Garamond"/>
                        <w:b/>
                      </w:rPr>
                    </w:pPr>
                    <w:r w:rsidRPr="00A3378D">
                      <w:rPr>
                        <w:rFonts w:ascii="Garamond" w:hAnsi="Garamond"/>
                        <w:b/>
                      </w:rPr>
                      <w:t>ZAVIRALNI VPLIV</w:t>
                    </w:r>
                  </w:p>
                </w:txbxContent>
              </v:textbox>
            </v:rect>
            <v:rect id="_x0000_s1075" style="position:absolute;left:7363;top:5904;width:2058;height:421">
              <v:textbox style="mso-next-textbox:#_x0000_s1075">
                <w:txbxContent>
                  <w:p w:rsidR="0059650F" w:rsidRDefault="0059650F" w:rsidP="00DD1ABF">
                    <w:pPr>
                      <w:jc w:val="center"/>
                    </w:pPr>
                    <w:r>
                      <w:t xml:space="preserve">okoliščine in pogoji, ki </w:t>
                    </w:r>
                    <w:r w:rsidRPr="00331A5D">
                      <w:rPr>
                        <w:b/>
                      </w:rPr>
                      <w:t>zaviralno</w:t>
                    </w:r>
                    <w:r>
                      <w:t xml:space="preserve"> ali </w:t>
                    </w:r>
                    <w:r w:rsidRPr="00331A5D">
                      <w:rPr>
                        <w:b/>
                      </w:rPr>
                      <w:t>pospeševalno</w:t>
                    </w:r>
                    <w:r>
                      <w:t xml:space="preserve"> vplivajo na gibljivost.</w:t>
                    </w:r>
                  </w:p>
                  <w:p w:rsidR="0059650F" w:rsidRDefault="0059650F" w:rsidP="00DD1ABF"/>
                </w:txbxContent>
              </v:textbox>
            </v:rect>
            <v:rect id="_x0000_s1070" style="position:absolute;left:7644;top:5528;width:1310;height:376">
              <v:textbox style="mso-next-textbox:#_x0000_s1070">
                <w:txbxContent>
                  <w:p w:rsidR="002E0286" w:rsidRPr="00E845A9" w:rsidRDefault="0059650F" w:rsidP="00DD1ABF">
                    <w:pPr>
                      <w:jc w:val="center"/>
                    </w:pPr>
                    <w:r w:rsidRPr="00E845A9">
                      <w:rPr>
                        <w:b/>
                      </w:rPr>
                      <w:t>DEJAVNIKI</w:t>
                    </w:r>
                    <w:r w:rsidR="00546652">
                      <w:rPr>
                        <w:b/>
                      </w:rPr>
                      <w:t xml:space="preserve"> VERTIKALNE G.</w:t>
                    </w:r>
                  </w:p>
                </w:txbxContent>
              </v:textbox>
            </v:rect>
            <v:rect id="_x0000_s1076" style="position:absolute;left:5496;top:6842;width:746;height:469">
              <v:textbox style="mso-next-textbox:#_x0000_s1076">
                <w:txbxContent>
                  <w:p w:rsidR="00A3378D" w:rsidRPr="00E845A9" w:rsidRDefault="00E845A9" w:rsidP="00DD1ABF">
                    <w:pPr>
                      <w:jc w:val="center"/>
                    </w:pPr>
                    <w:r>
                      <w:t>procesi tekmovanja</w:t>
                    </w:r>
                  </w:p>
                </w:txbxContent>
              </v:textbox>
            </v:rect>
            <v:rect id="_x0000_s1077" style="position:absolute;left:10449;top:6654;width:935;height:281">
              <v:textbox style="mso-next-textbox:#_x0000_s1077">
                <w:txbxContent>
                  <w:p w:rsidR="00A3378D" w:rsidRDefault="00676DFE" w:rsidP="00DD1ABF">
                    <w:pPr>
                      <w:jc w:val="center"/>
                    </w:pPr>
                    <w:r>
                      <w:t>diskriminacije</w:t>
                    </w:r>
                  </w:p>
                </w:txbxContent>
              </v:textbox>
            </v:rect>
            <v:rect id="_x0000_s1078" style="position:absolute;left:4655;top:6842;width:748;height:469">
              <v:textbox style="mso-next-textbox:#_x0000_s1078">
                <w:txbxContent>
                  <w:p w:rsidR="00E845A9" w:rsidRPr="00E845A9" w:rsidRDefault="00E845A9" w:rsidP="00DD1ABF">
                    <w:pPr>
                      <w:jc w:val="center"/>
                    </w:pPr>
                    <w:r>
                      <w:t>i</w:t>
                    </w:r>
                    <w:r w:rsidRPr="00E845A9">
                      <w:t xml:space="preserve">migracije </w:t>
                    </w:r>
                    <w:r w:rsidRPr="00DB2AFD">
                      <w:rPr>
                        <w:b/>
                      </w:rPr>
                      <w:t>»</w:t>
                    </w:r>
                    <w:r w:rsidRPr="00E845A9">
                      <w:t>tujcev</w:t>
                    </w:r>
                    <w:r w:rsidRPr="00DB2AFD">
                      <w:t>«</w:t>
                    </w:r>
                  </w:p>
                </w:txbxContent>
              </v:textbox>
            </v:rect>
            <v:rect id="_x0000_s1080" style="position:absolute;left:7363;top:6842;width:748;height:282">
              <v:textbox style="mso-next-textbox:#_x0000_s1080">
                <w:txbxContent>
                  <w:p w:rsidR="00E845A9" w:rsidRPr="00E845A9" w:rsidRDefault="00E845A9" w:rsidP="00DD1ABF">
                    <w:pPr>
                      <w:jc w:val="center"/>
                    </w:pPr>
                    <w:r>
                      <w:t>družina</w:t>
                    </w:r>
                  </w:p>
                </w:txbxContent>
              </v:textbox>
            </v:rect>
            <v:rect id="_x0000_s1081" style="position:absolute;left:8205;top:6843;width:935;height:279">
              <v:textbox style="mso-next-textbox:#_x0000_s1081">
                <w:txbxContent>
                  <w:p w:rsidR="00E845A9" w:rsidRPr="00E845A9" w:rsidRDefault="00676DFE" w:rsidP="00DD1ABF">
                    <w:pPr>
                      <w:jc w:val="center"/>
                    </w:pPr>
                    <w:r>
                      <w:t>premoženje</w:t>
                    </w:r>
                  </w:p>
                </w:txbxContent>
              </v:textbox>
            </v:rect>
            <v:line id="_x0000_s1082" style="position:absolute;flip:x" from="5403,6467" to="5683,6749">
              <v:stroke endarrow="block"/>
            </v:line>
            <v:line id="_x0000_s1083" style="position:absolute" from="5870,6467" to="5871,6749">
              <v:stroke endarrow="block"/>
            </v:line>
            <v:line id="_x0000_s1084" style="position:absolute;flip:x" from="6522,6467" to="6523,6749">
              <v:stroke endarrow="block"/>
            </v:line>
            <v:line id="_x0000_s1085" style="position:absolute" from="6989,6467" to="7363,6749">
              <v:stroke endarrow="block"/>
            </v:line>
            <v:line id="_x0000_s1087" style="position:absolute" from="6989,6373" to="8392,6749">
              <v:stroke endarrow="block"/>
            </v:line>
            <v:line id="_x0000_s1089" style="position:absolute" from="9421,6091" to="10166,6185">
              <v:stroke endarrow="block"/>
            </v:line>
            <v:line id="_x0000_s1090" style="position:absolute" from="10917,6279" to="10918,6559">
              <v:stroke endarrow="block"/>
            </v:line>
            <v:rect id="_x0000_s1067" style="position:absolute;left:4558;top:4307;width:2150;height:373">
              <v:textbox style="mso-next-textbox:#_x0000_s1067">
                <w:txbxContent>
                  <w:p w:rsidR="008343C8" w:rsidRDefault="008343C8" w:rsidP="00DD1ABF">
                    <w:pPr>
                      <w:jc w:val="center"/>
                    </w:pPr>
                    <w:r w:rsidRPr="00B85A82">
                      <w:rPr>
                        <w:b/>
                      </w:rPr>
                      <w:t>DEJAVNIKI</w:t>
                    </w:r>
                    <w:r w:rsidR="00B01D6E">
                      <w:rPr>
                        <w:b/>
                      </w:rPr>
                      <w:t xml:space="preserve"> HORIZONTALNE </w:t>
                    </w:r>
                    <w:r w:rsidR="00546652">
                      <w:rPr>
                        <w:b/>
                      </w:rPr>
                      <w:t>G</w:t>
                    </w:r>
                    <w:r w:rsidR="00B01D6E">
                      <w:rPr>
                        <w:b/>
                      </w:rPr>
                      <w:t>.</w:t>
                    </w:r>
                    <w:r w:rsidRPr="00B85A82">
                      <w:rPr>
                        <w:b/>
                      </w:rPr>
                      <w:t>:</w:t>
                    </w:r>
                    <w:r>
                      <w:t xml:space="preserve"> fluktuacija delovne sile, migracije</w:t>
                    </w:r>
                  </w:p>
                </w:txbxContent>
              </v:textbox>
            </v:rect>
            <v:rect id="_x0000_s1037" style="position:absolute;left:8953;top:2898;width:1216;height:374">
              <v:textbox style="mso-next-textbox:#_x0000_s1037">
                <w:txbxContent>
                  <w:p w:rsidR="00425E36" w:rsidRPr="00662360" w:rsidRDefault="00425E36" w:rsidP="00DD1ABF">
                    <w:pPr>
                      <w:jc w:val="center"/>
                      <w:rPr>
                        <w:rFonts w:ascii="Century" w:hAnsi="Century"/>
                        <w:b/>
                      </w:rPr>
                    </w:pPr>
                    <w:r w:rsidRPr="00662360">
                      <w:rPr>
                        <w:rFonts w:ascii="Century" w:hAnsi="Century"/>
                        <w:b/>
                      </w:rPr>
                      <w:t>Z VIDIKA POSAMEZNIKA</w:t>
                    </w:r>
                  </w:p>
                </w:txbxContent>
              </v:textbox>
            </v:rect>
            <v:rect id="_x0000_s1055" style="position:absolute;left:8673;top:3274;width:1775;height:564">
              <v:textbox style="mso-next-textbox:#_x0000_s1055">
                <w:txbxContent>
                  <w:p w:rsidR="003A157F" w:rsidRDefault="003A157F" w:rsidP="00DD1ABF">
                    <w:pPr>
                      <w:jc w:val="center"/>
                    </w:pPr>
                    <w:r>
                      <w:t xml:space="preserve">Kako se spreminja posameznikov družbeni položaj </w:t>
                    </w:r>
                  </w:p>
                  <w:p w:rsidR="003A157F" w:rsidRDefault="003A157F" w:rsidP="00DD1ABF">
                    <w:pPr>
                      <w:jc w:val="center"/>
                    </w:pPr>
                    <w:r>
                      <w:t>(gibljivost navzgor/navzdol)</w:t>
                    </w:r>
                  </w:p>
                </w:txbxContent>
              </v:textbox>
            </v:rect>
            <v:rect id="_x0000_s1036" style="position:absolute;left:10730;top:2956;width:1027;height:377">
              <v:textbox style="mso-next-textbox:#_x0000_s1036">
                <w:txbxContent>
                  <w:p w:rsidR="00425E36" w:rsidRPr="00662360" w:rsidRDefault="00425E36" w:rsidP="00DD1ABF">
                    <w:pPr>
                      <w:jc w:val="center"/>
                      <w:rPr>
                        <w:rFonts w:ascii="Century" w:hAnsi="Century"/>
                        <w:b/>
                      </w:rPr>
                    </w:pPr>
                    <w:r w:rsidRPr="00662360">
                      <w:rPr>
                        <w:rFonts w:ascii="Century" w:hAnsi="Century"/>
                        <w:b/>
                      </w:rPr>
                      <w:t>Z VIDIKA DRUŽBE</w:t>
                    </w:r>
                  </w:p>
                </w:txbxContent>
              </v:textbox>
            </v:rect>
            <v:rect id="_x0000_s1059" style="position:absolute;left:10636;top:3332;width:1216;height:564">
              <v:textbox style="mso-next-textbox:#_x0000_s1059">
                <w:txbxContent>
                  <w:p w:rsidR="00657F58" w:rsidRDefault="00657F58" w:rsidP="00DD1ABF">
                    <w:pPr>
                      <w:jc w:val="center"/>
                    </w:pPr>
                    <w:r>
                      <w:t>Kakšne so možnosti napredovanja – odprte/zaprte</w:t>
                    </w:r>
                  </w:p>
                </w:txbxContent>
              </v:textbox>
            </v:rect>
            <v:rect id="_x0000_s1040" style="position:absolute;left:8672;top:4025;width:1589;height:568">
              <v:textbox style="mso-next-textbox:#_x0000_s1040">
                <w:txbxContent>
                  <w:p w:rsidR="004F2238" w:rsidRPr="005A3808" w:rsidRDefault="004F2238" w:rsidP="00DD1ABF">
                    <w:pPr>
                      <w:jc w:val="center"/>
                      <w:rPr>
                        <w:rFonts w:ascii="Tahoma" w:hAnsi="Tahoma" w:cs="Tahoma"/>
                        <w:b/>
                        <w:sz w:val="22"/>
                        <w:szCs w:val="22"/>
                      </w:rPr>
                    </w:pPr>
                    <w:r w:rsidRPr="005A3808">
                      <w:rPr>
                        <w:rFonts w:ascii="Tahoma" w:hAnsi="Tahoma" w:cs="Tahoma"/>
                        <w:b/>
                        <w:sz w:val="22"/>
                        <w:szCs w:val="22"/>
                      </w:rPr>
                      <w:t>INTERGENERACIJSKA (ZNOTRAJSLOJEVSKA) GIBLJIVOST</w:t>
                    </w:r>
                  </w:p>
                </w:txbxContent>
              </v:textbox>
            </v:rect>
            <v:rect id="_x0000_s1041" style="position:absolute;left:10356;top:4025;width:1495;height:568">
              <v:textbox style="mso-next-textbox:#_x0000_s1041">
                <w:txbxContent>
                  <w:p w:rsidR="004F2238" w:rsidRPr="005A3808" w:rsidRDefault="004F2238" w:rsidP="00DD1ABF">
                    <w:pPr>
                      <w:jc w:val="center"/>
                      <w:rPr>
                        <w:rFonts w:ascii="Tahoma" w:hAnsi="Tahoma" w:cs="Tahoma"/>
                        <w:b/>
                        <w:sz w:val="22"/>
                        <w:szCs w:val="22"/>
                      </w:rPr>
                    </w:pPr>
                    <w:r w:rsidRPr="005A3808">
                      <w:rPr>
                        <w:rFonts w:ascii="Tahoma" w:hAnsi="Tahoma" w:cs="Tahoma"/>
                        <w:b/>
                        <w:sz w:val="22"/>
                        <w:szCs w:val="22"/>
                      </w:rPr>
                      <w:t xml:space="preserve">INTERGENERACIJSKA (MEDSLOJEVSKA) </w:t>
                    </w:r>
                    <w:r w:rsidR="00D24D99" w:rsidRPr="005A3808">
                      <w:rPr>
                        <w:rFonts w:ascii="Tahoma" w:hAnsi="Tahoma" w:cs="Tahoma"/>
                        <w:b/>
                        <w:sz w:val="22"/>
                        <w:szCs w:val="22"/>
                      </w:rPr>
                      <w:t>GIBLJIVOST</w:t>
                    </w:r>
                  </w:p>
                </w:txbxContent>
              </v:textbox>
            </v:rect>
            <v:rect id="_x0000_s1053" style="position:absolute;left:8860;top:4589;width:1307;height:844">
              <v:textbox style="mso-next-textbox:#_x0000_s1053">
                <w:txbxContent>
                  <w:p w:rsidR="003B6F6B" w:rsidRDefault="003B6F6B" w:rsidP="00DD1ABF">
                    <w:pPr>
                      <w:jc w:val="center"/>
                    </w:pPr>
                    <w:r>
                      <w:t>Pove koliko se je posameznikov družbeni položaj spreminjal tekom njegovega življenja</w:t>
                    </w:r>
                  </w:p>
                </w:txbxContent>
              </v:textbox>
            </v:rect>
            <v:rect id="_x0000_s1054" style="position:absolute;left:10543;top:4589;width:1214;height:658">
              <v:textbox style="mso-next-textbox:#_x0000_s1054">
                <w:txbxContent>
                  <w:p w:rsidR="003B6F6B" w:rsidRDefault="003B6F6B" w:rsidP="00DD1ABF">
                    <w:pPr>
                      <w:jc w:val="center"/>
                    </w:pPr>
                    <w:r>
                      <w:t>Sprememba ko otroci dosežejo višji/nižji status kot njihovi starši</w:t>
                    </w:r>
                  </w:p>
                </w:txbxContent>
              </v:textbox>
            </v:rect>
            <v:rect id="_x0000_s1079" style="position:absolute;left:6336;top:6842;width:933;height:752">
              <v:textbox style="mso-next-textbox:#_x0000_s1079">
                <w:txbxContent>
                  <w:p w:rsidR="00E845A9" w:rsidRPr="00E845A9" w:rsidRDefault="00E845A9" w:rsidP="00DD1ABF">
                    <w:pPr>
                      <w:jc w:val="center"/>
                    </w:pPr>
                    <w:r>
                      <w:t>možnost šolskega in izvenšolskega izobraževanja</w:t>
                    </w:r>
                  </w:p>
                </w:txbxContent>
              </v:textbox>
            </v:rect>
            <v:line id="_x0000_s1094" style="position:absolute;flip:x" from="7083,6091" to="7363,6185">
              <v:stroke endarrow="block"/>
            </v:line>
            <v:shape id="_x0000_s1096" type="#_x0000_t67" style="position:absolute;left:8299;top:4870;width:285;height:668;rotation:2761561fd" fillcolor="#ddd"/>
            <v:line id="_x0000_s1097" style="position:absolute" from="9327,3837" to="9328,4025">
              <v:stroke endarrow="block"/>
            </v:line>
            <v:line id="_x0000_s1098" style="position:absolute" from="10262,3837" to="10449,4025">
              <v:stroke endarrow="block"/>
            </v:line>
            <v:shape id="_x0000_s1068" type="#_x0000_t67" style="position:absolute;left:5400;top:3884;width:468;height:329" fillcolor="#ddd"/>
            <w10:wrap type="none"/>
            <w10:anchorlock/>
          </v:group>
        </w:pict>
      </w:r>
    </w:p>
    <w:sectPr w:rsidR="002E0286" w:rsidSect="00295D53">
      <w:foot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50E" w:rsidRDefault="006E57C3">
      <w:r>
        <w:separator/>
      </w:r>
    </w:p>
  </w:endnote>
  <w:endnote w:type="continuationSeparator" w:id="0">
    <w:p w:rsidR="00BB750E" w:rsidRDefault="006E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BA5" w:rsidRPr="00FD1461" w:rsidRDefault="00C47BA5">
    <w:pPr>
      <w:pStyle w:val="Footer"/>
      <w:rPr>
        <w:b/>
        <w:color w:val="808080"/>
      </w:rPr>
    </w:pPr>
    <w:r>
      <w:tab/>
    </w:r>
    <w:r>
      <w:tab/>
    </w:r>
    <w:r>
      <w:tab/>
    </w:r>
    <w:r>
      <w:tab/>
    </w:r>
    <w:r>
      <w:tab/>
    </w:r>
    <w:r w:rsidRPr="00FD1461">
      <w:rPr>
        <w:color w:val="808080"/>
      </w:rPr>
      <w:tab/>
    </w:r>
    <w:r w:rsidRPr="00FD1461">
      <w:rPr>
        <w:b/>
        <w:color w:val="808080"/>
      </w:rPr>
      <w:t>Tjaša KOLBL, 3d/g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50E" w:rsidRDefault="006E57C3">
      <w:r>
        <w:separator/>
      </w:r>
    </w:p>
  </w:footnote>
  <w:footnote w:type="continuationSeparator" w:id="0">
    <w:p w:rsidR="00BB750E" w:rsidRDefault="006E5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5D53"/>
    <w:rsid w:val="000035C9"/>
    <w:rsid w:val="00083FAB"/>
    <w:rsid w:val="00094715"/>
    <w:rsid w:val="000F791D"/>
    <w:rsid w:val="0013618C"/>
    <w:rsid w:val="001B5CB2"/>
    <w:rsid w:val="001C3E6F"/>
    <w:rsid w:val="00232BAE"/>
    <w:rsid w:val="0024534B"/>
    <w:rsid w:val="00270091"/>
    <w:rsid w:val="00295D53"/>
    <w:rsid w:val="002E0286"/>
    <w:rsid w:val="003008BF"/>
    <w:rsid w:val="00331A5D"/>
    <w:rsid w:val="00343C5A"/>
    <w:rsid w:val="003717E6"/>
    <w:rsid w:val="003A157F"/>
    <w:rsid w:val="003B6F6B"/>
    <w:rsid w:val="003E2524"/>
    <w:rsid w:val="003F2037"/>
    <w:rsid w:val="00425E36"/>
    <w:rsid w:val="00446FD0"/>
    <w:rsid w:val="004739B5"/>
    <w:rsid w:val="004C2C87"/>
    <w:rsid w:val="004D68F4"/>
    <w:rsid w:val="004D6EDC"/>
    <w:rsid w:val="004F2238"/>
    <w:rsid w:val="005063D3"/>
    <w:rsid w:val="005227BC"/>
    <w:rsid w:val="005376BA"/>
    <w:rsid w:val="00546652"/>
    <w:rsid w:val="00580056"/>
    <w:rsid w:val="0059650F"/>
    <w:rsid w:val="005A3808"/>
    <w:rsid w:val="005E631C"/>
    <w:rsid w:val="00657F58"/>
    <w:rsid w:val="00662360"/>
    <w:rsid w:val="00667C29"/>
    <w:rsid w:val="00673A93"/>
    <w:rsid w:val="00676DFE"/>
    <w:rsid w:val="006B7C20"/>
    <w:rsid w:val="006E57C3"/>
    <w:rsid w:val="00734D42"/>
    <w:rsid w:val="0074132D"/>
    <w:rsid w:val="007D54D3"/>
    <w:rsid w:val="008058CB"/>
    <w:rsid w:val="00805C7B"/>
    <w:rsid w:val="00811001"/>
    <w:rsid w:val="008343C8"/>
    <w:rsid w:val="008854F2"/>
    <w:rsid w:val="0089013E"/>
    <w:rsid w:val="008A4CEA"/>
    <w:rsid w:val="00912488"/>
    <w:rsid w:val="00935875"/>
    <w:rsid w:val="00935E32"/>
    <w:rsid w:val="00976707"/>
    <w:rsid w:val="00A063BD"/>
    <w:rsid w:val="00A32CE0"/>
    <w:rsid w:val="00A3378D"/>
    <w:rsid w:val="00A64B43"/>
    <w:rsid w:val="00AE1245"/>
    <w:rsid w:val="00AE5114"/>
    <w:rsid w:val="00B01D6E"/>
    <w:rsid w:val="00B80EC7"/>
    <w:rsid w:val="00B85A82"/>
    <w:rsid w:val="00B8780D"/>
    <w:rsid w:val="00BB4158"/>
    <w:rsid w:val="00BB750E"/>
    <w:rsid w:val="00BE1C2F"/>
    <w:rsid w:val="00C104E5"/>
    <w:rsid w:val="00C13DFE"/>
    <w:rsid w:val="00C47BA5"/>
    <w:rsid w:val="00CB5146"/>
    <w:rsid w:val="00D24D99"/>
    <w:rsid w:val="00DD1ABF"/>
    <w:rsid w:val="00DE4D0C"/>
    <w:rsid w:val="00E845A9"/>
    <w:rsid w:val="00EB31E4"/>
    <w:rsid w:val="00EB7682"/>
    <w:rsid w:val="00EC65B1"/>
    <w:rsid w:val="00F0144F"/>
    <w:rsid w:val="00F054FC"/>
    <w:rsid w:val="00F43D74"/>
    <w:rsid w:val="00F4502F"/>
    <w:rsid w:val="00F7449B"/>
    <w:rsid w:val="00F859D6"/>
    <w:rsid w:val="00F941EF"/>
    <w:rsid w:val="00FA0B52"/>
    <w:rsid w:val="00FD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0">
      <o:colormru v:ext="edit" colors="#fcf,#ddd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47BA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47BA5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976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2019-05-17T07:26:00Z</dcterms:created>
  <dcterms:modified xsi:type="dcterms:W3CDTF">2019-05-17T07:26:00Z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