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75" w:rsidRDefault="00550D16">
      <w:pPr>
        <w:rPr>
          <w:sz w:val="40"/>
        </w:rPr>
      </w:pPr>
      <w:bookmarkStart w:id="0" w:name="_GoBack"/>
      <w:bookmarkEnd w:id="0"/>
      <w:r>
        <w:t xml:space="preserve">                                              </w:t>
      </w:r>
      <w:r>
        <w:rPr>
          <w:sz w:val="40"/>
        </w:rPr>
        <w:t>GVAŠ</w:t>
      </w:r>
    </w:p>
    <w:p w:rsidR="00550D16" w:rsidRDefault="00550D16" w:rsidP="00550D16">
      <w:pPr>
        <w:pStyle w:val="NormalWeb"/>
      </w:pPr>
      <w:r>
        <w:t>Gvaš je podoben pastelu, slikanje z vodnimi barvami z dodatkom bele – kritnost, svetlenje po sušenju, na toniran papir (tudi na druge barvane nosilce); sodobni gvaš z disperzijskimi barvami.</w:t>
      </w:r>
    </w:p>
    <w:p w:rsidR="00550D16" w:rsidRDefault="00550D16" w:rsidP="00550D16">
      <w:pPr>
        <w:pStyle w:val="NormalWeb"/>
      </w:pPr>
      <w:r>
        <w:t>Enostavno umetniško delo. Pigmenti + vezivo, mehki čopiči.</w:t>
      </w:r>
    </w:p>
    <w:p w:rsidR="00550D16" w:rsidRPr="00550D16" w:rsidRDefault="00550D16">
      <w:pPr>
        <w:rPr>
          <w:sz w:val="28"/>
        </w:rPr>
      </w:pPr>
      <w:r>
        <w:rPr>
          <w:b/>
          <w:bCs/>
        </w:rPr>
        <w:t>Gvaš</w:t>
      </w:r>
      <w:r>
        <w:t xml:space="preserve"> (iz </w:t>
      </w:r>
      <w:hyperlink r:id="rId6" w:tooltip="Italijanščina" w:history="1">
        <w:r>
          <w:rPr>
            <w:rStyle w:val="Hyperlink"/>
          </w:rPr>
          <w:t>italijanščine</w:t>
        </w:r>
      </w:hyperlink>
      <w:r>
        <w:t xml:space="preserve"> </w:t>
      </w:r>
      <w:r>
        <w:rPr>
          <w:i/>
          <w:iCs/>
        </w:rPr>
        <w:t>guazzo</w:t>
      </w:r>
      <w:r>
        <w:t xml:space="preserve">) je </w:t>
      </w:r>
      <w:hyperlink r:id="rId7" w:tooltip="Slikarska tehnika (članek še ni napisan)" w:history="1">
        <w:r>
          <w:rPr>
            <w:rStyle w:val="Hyperlink"/>
          </w:rPr>
          <w:t>slikarska tehnika</w:t>
        </w:r>
      </w:hyperlink>
      <w:r>
        <w:t xml:space="preserve">, pri kateri so kritnim vodenim barvam dodana veziva iz </w:t>
      </w:r>
      <w:hyperlink r:id="rId8" w:tooltip="Klej (članek še ni napisan)" w:history="1">
        <w:r>
          <w:rPr>
            <w:rStyle w:val="Hyperlink"/>
          </w:rPr>
          <w:t>kleja</w:t>
        </w:r>
      </w:hyperlink>
      <w:r>
        <w:t xml:space="preserve">; v nasprotju z </w:t>
      </w:r>
      <w:hyperlink r:id="rId9" w:tooltip="Akvarel" w:history="1">
        <w:r>
          <w:rPr>
            <w:rStyle w:val="Hyperlink"/>
          </w:rPr>
          <w:t>akvarelom</w:t>
        </w:r>
      </w:hyperlink>
      <w:r>
        <w:t xml:space="preserve"> barvni nanosi niso tekoči.</w:t>
      </w:r>
    </w:p>
    <w:p w:rsidR="00550D16" w:rsidRDefault="0041709C" w:rsidP="004C699D"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33.3pt;margin-top:11.55pt;width:146.25pt;height:206.6pt;z-index:251657728;visibility:visible">
            <v:imagedata r:id="rId10" o:title=""/>
            <w10:wrap type="square"/>
          </v:shape>
        </w:pict>
      </w:r>
      <w:r>
        <w:rPr>
          <w:noProof/>
          <w:sz w:val="40"/>
          <w:lang w:val="en-US"/>
        </w:rPr>
        <w:pict>
          <v:shape id="Slika 4" o:spid="_x0000_i1025" type="#_x0000_t75" style="width:193.5pt;height:133.5pt;visibility:visible">
            <v:imagedata r:id="rId11" o:title=""/>
          </v:shape>
        </w:pict>
      </w:r>
      <w:r w:rsidR="00550D16">
        <w:rPr>
          <w:sz w:val="40"/>
        </w:rPr>
        <w:br w:type="textWrapping" w:clear="all"/>
      </w:r>
      <w:r>
        <w:rPr>
          <w:noProof/>
          <w:sz w:val="40"/>
          <w:lang w:val="en-US"/>
        </w:rPr>
        <w:pict>
          <v:shape id="Slika 7" o:spid="_x0000_i1026" type="#_x0000_t75" style="width:135.75pt;height:183.75pt;visibility:visible">
            <v:imagedata r:id="rId12" o:title=""/>
          </v:shape>
        </w:pict>
      </w:r>
      <w:r w:rsidR="004C699D">
        <w:t xml:space="preserve"> </w:t>
      </w:r>
    </w:p>
    <w:p w:rsidR="004C699D" w:rsidRDefault="004C699D">
      <w:pPr>
        <w:rPr>
          <w:sz w:val="40"/>
        </w:rPr>
      </w:pPr>
      <w:r>
        <w:rPr>
          <w:sz w:val="40"/>
        </w:rPr>
        <w:t>GVAŠ-slikarska tehnika,pri kateri se s pokrivajočimi vodenimi  barvami slika zlasti na papir :slika v gvašu slika v tej tehniki :razstava akvarelov in gvašev.</w:t>
      </w:r>
    </w:p>
    <w:p w:rsidR="004C699D" w:rsidRDefault="004C699D" w:rsidP="004C699D">
      <w:pPr>
        <w:pStyle w:val="NormalWeb"/>
      </w:pPr>
      <w:r>
        <w:lastRenderedPageBreak/>
        <w:t xml:space="preserve">V </w:t>
      </w:r>
      <w:hyperlink r:id="rId13" w:tooltip="Vzhodna Azija" w:history="1">
        <w:r>
          <w:rPr>
            <w:rStyle w:val="Hyperlink"/>
          </w:rPr>
          <w:t>Vzhodni Aziji</w:t>
        </w:r>
      </w:hyperlink>
      <w:r>
        <w:t xml:space="preserve"> je akvarelno slikarstvo s tušem mišljeno kot slikanje s čopičem ter tabelno (knjižno) slikarstvo. Akvarelne barve sestavljajo od pigment, </w:t>
      </w:r>
      <w:hyperlink r:id="rId14" w:tooltip="Gumiarabikum (članek še ni napisan)" w:history="1">
        <w:r>
          <w:rPr>
            <w:rStyle w:val="Hyperlink"/>
          </w:rPr>
          <w:t>gumiarabikum</w:t>
        </w:r>
      </w:hyperlink>
      <w:r>
        <w:t xml:space="preserve"> in voda. Gumiarabikum se topi v vodi v razmerju 1:5 (gumiarabikum:voda). Po približno 24 urah se gumiarabikum popolnoma raztopi in postane po </w:t>
      </w:r>
      <w:hyperlink r:id="rId15" w:tooltip="Viskoznost" w:history="1">
        <w:r>
          <w:rPr>
            <w:rStyle w:val="Hyperlink"/>
          </w:rPr>
          <w:t>viskoznosti</w:t>
        </w:r>
      </w:hyperlink>
      <w:r>
        <w:t xml:space="preserve"> in barvi podoben </w:t>
      </w:r>
      <w:hyperlink r:id="rId16" w:tooltip="Med" w:history="1">
        <w:r>
          <w:rPr>
            <w:rStyle w:val="Hyperlink"/>
          </w:rPr>
          <w:t>medu</w:t>
        </w:r>
      </w:hyperlink>
      <w:r>
        <w:t>. To zmes je potrebno precediti skozi zelo fino sito in nato v tanki plasti zliti na neporozno podlago (plastično folijo) in pustiti dva dni, da se posuši. Suho snov odluščimo s podlage in na približno 3 cm² suhega gumiarabikuma dodamo čajno žličko pigmenta in nekoliko vode. Ko se gumiarabikum ponovno otopi, je akvarelna barva pripravljena.</w:t>
      </w:r>
    </w:p>
    <w:p w:rsidR="004C699D" w:rsidRPr="00550D16" w:rsidRDefault="00957866" w:rsidP="00957866">
      <w:pPr>
        <w:pStyle w:val="NormalWeb"/>
        <w:rPr>
          <w:sz w:val="40"/>
        </w:rPr>
      </w:pPr>
      <w:r>
        <w:t xml:space="preserve"> </w:t>
      </w:r>
    </w:p>
    <w:sectPr w:rsidR="004C699D" w:rsidRPr="00550D16" w:rsidSect="0037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4B" w:rsidRDefault="0091544B" w:rsidP="004C699D">
      <w:pPr>
        <w:spacing w:after="0" w:line="240" w:lineRule="auto"/>
      </w:pPr>
      <w:r>
        <w:separator/>
      </w:r>
    </w:p>
  </w:endnote>
  <w:endnote w:type="continuationSeparator" w:id="0">
    <w:p w:rsidR="0091544B" w:rsidRDefault="0091544B" w:rsidP="004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4B" w:rsidRDefault="0091544B" w:rsidP="004C699D">
      <w:pPr>
        <w:spacing w:after="0" w:line="240" w:lineRule="auto"/>
      </w:pPr>
      <w:r>
        <w:separator/>
      </w:r>
    </w:p>
  </w:footnote>
  <w:footnote w:type="continuationSeparator" w:id="0">
    <w:p w:rsidR="0091544B" w:rsidRDefault="0091544B" w:rsidP="004C6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D16"/>
    <w:rsid w:val="00375275"/>
    <w:rsid w:val="00381878"/>
    <w:rsid w:val="0041709C"/>
    <w:rsid w:val="004735CC"/>
    <w:rsid w:val="004C699D"/>
    <w:rsid w:val="00550D16"/>
    <w:rsid w:val="005666E3"/>
    <w:rsid w:val="00580E57"/>
    <w:rsid w:val="007E34B1"/>
    <w:rsid w:val="00814C9A"/>
    <w:rsid w:val="0091544B"/>
    <w:rsid w:val="0091688B"/>
    <w:rsid w:val="00957866"/>
    <w:rsid w:val="00996884"/>
    <w:rsid w:val="009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550D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699D"/>
    <w:rPr>
      <w:b/>
      <w:bCs/>
    </w:rPr>
  </w:style>
  <w:style w:type="character" w:styleId="Emphasis">
    <w:name w:val="Emphasis"/>
    <w:basedOn w:val="DefaultParagraphFont"/>
    <w:uiPriority w:val="20"/>
    <w:qFormat/>
    <w:rsid w:val="004C699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C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99D"/>
  </w:style>
  <w:style w:type="paragraph" w:styleId="Footer">
    <w:name w:val="footer"/>
    <w:basedOn w:val="Normal"/>
    <w:link w:val="FooterChar"/>
    <w:uiPriority w:val="99"/>
    <w:semiHidden/>
    <w:unhideWhenUsed/>
    <w:rsid w:val="004C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Klej&amp;action=edit&amp;redlink=1" TargetMode="External"/><Relationship Id="rId13" Type="http://schemas.openxmlformats.org/officeDocument/2006/relationships/hyperlink" Target="http://sl.wikipedia.org/wiki/Vzhodna_Azij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/index.php?title=Slikarska_tehnika&amp;action=edit&amp;redlink=1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Med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Italijan%C5%A1%C4%8Dina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sl.wikipedia.org/wiki/Viskoznost" TargetMode="Externa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sl.wikipedia.org/wiki/Akvarel" TargetMode="External"/><Relationship Id="rId14" Type="http://schemas.openxmlformats.org/officeDocument/2006/relationships/hyperlink" Target="http://sl.wikipedia.org/w/index.php?title=Gumiarabikum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Links>
    <vt:vector size="48" baseType="variant">
      <vt:variant>
        <vt:i4>82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http://sl.wikipedia.org/wiki/Med</vt:lpwstr>
      </vt:variant>
      <vt:variant>
        <vt:lpwstr/>
      </vt:variant>
      <vt:variant>
        <vt:i4>8257568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http://sl.wikipedia.org/wiki/Viskoznost</vt:lpwstr>
      </vt:variant>
      <vt:variant>
        <vt:lpwstr/>
      </vt:variant>
      <vt:variant>
        <vt:i4>1310791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http://sl.wikipedia.org/w/index.php?title=Gumiarabikum&amp;action=edit&amp;redlink=1</vt:lpwstr>
      </vt:variant>
      <vt:variant>
        <vt:lpwstr/>
      </vt:variant>
      <vt:variant>
        <vt:i4>8060931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http://sl.wikipedia.org/wiki/Vzhodna_Azija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http://sl.wikipedia.org/wiki/Akvarel</vt:lpwstr>
      </vt:variant>
      <vt:variant>
        <vt:lpwstr/>
      </vt:variant>
      <vt:variant>
        <vt:i4>1572959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http://sl.wikipedia.org/w/index.php?title=Klej&amp;action=edit&amp;redlink=1</vt:lpwstr>
      </vt:variant>
      <vt:variant>
        <vt:lpwstr/>
      </vt:variant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http://sl.wikipedia.org/w/index.php?title=Slikarska_tehnika&amp;action=edit&amp;redlink=1</vt:lpwstr>
      </vt:variant>
      <vt:variant>
        <vt:lpwstr/>
      </vt:variant>
      <vt:variant>
        <vt:i4>5832720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http://sl.wikipedia.org/wiki/Italijan%C5%A1%C4%8Dina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