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CD6" w:rsidRPr="00B8299F" w:rsidRDefault="00FB3FFB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B8299F">
        <w:rPr>
          <w:rFonts w:ascii="Century Gothic" w:hAnsi="Century Gothic"/>
          <w:b/>
          <w:sz w:val="28"/>
          <w:szCs w:val="28"/>
        </w:rPr>
        <w:t>EGON SCHIELE</w:t>
      </w:r>
    </w:p>
    <w:p w:rsidR="00FB3FFB" w:rsidRPr="00B8299F" w:rsidRDefault="00FB3FFB">
      <w:pPr>
        <w:rPr>
          <w:rFonts w:ascii="Century Gothic" w:hAnsi="Century Gothic"/>
        </w:rPr>
      </w:pPr>
      <w:r w:rsidRPr="00B8299F">
        <w:rPr>
          <w:rFonts w:ascii="Century Gothic" w:hAnsi="Century Gothic"/>
        </w:rPr>
        <w:t>(1890 – 1918)</w:t>
      </w:r>
    </w:p>
    <w:p w:rsidR="00FB3FFB" w:rsidRPr="00B8299F" w:rsidRDefault="00FB3FFB">
      <w:pPr>
        <w:rPr>
          <w:rFonts w:ascii="Century Gothic" w:hAnsi="Century Gothic"/>
        </w:rPr>
      </w:pPr>
    </w:p>
    <w:p w:rsidR="00FB3FFB" w:rsidRPr="00B8299F" w:rsidRDefault="00FB3FFB">
      <w:pPr>
        <w:rPr>
          <w:rFonts w:ascii="Century Gothic" w:hAnsi="Century Gothic"/>
        </w:rPr>
      </w:pPr>
      <w:r w:rsidRPr="00B8299F">
        <w:rPr>
          <w:rFonts w:ascii="Century Gothic" w:hAnsi="Century Gothic"/>
        </w:rPr>
        <w:t>Avstrijski ekspresionistični slikar in risar.</w:t>
      </w:r>
    </w:p>
    <w:p w:rsidR="00FB3FFB" w:rsidRPr="00B8299F" w:rsidRDefault="00FB3FFB">
      <w:pPr>
        <w:rPr>
          <w:rFonts w:ascii="Century Gothic" w:hAnsi="Century Gothic"/>
        </w:rPr>
      </w:pPr>
    </w:p>
    <w:p w:rsidR="00FB3FFB" w:rsidRPr="00B8299F" w:rsidRDefault="00FB3FFB">
      <w:pPr>
        <w:rPr>
          <w:rFonts w:ascii="Century Gothic" w:hAnsi="Century Gothic"/>
        </w:rPr>
      </w:pPr>
      <w:r w:rsidRPr="00B8299F">
        <w:rPr>
          <w:rFonts w:ascii="Century Gothic" w:hAnsi="Century Gothic"/>
        </w:rPr>
        <w:t>ROJSTVO: Tulln ob Donavi</w:t>
      </w:r>
    </w:p>
    <w:p w:rsidR="00FB3FFB" w:rsidRPr="00B8299F" w:rsidRDefault="00FB3FFB">
      <w:pPr>
        <w:rPr>
          <w:rFonts w:ascii="Century Gothic" w:hAnsi="Century Gothic"/>
        </w:rPr>
      </w:pPr>
      <w:r w:rsidRPr="00B8299F">
        <w:rPr>
          <w:rFonts w:ascii="Century Gothic" w:hAnsi="Century Gothic"/>
        </w:rPr>
        <w:t>SMRT: Dunaj,1918</w:t>
      </w:r>
    </w:p>
    <w:p w:rsidR="00FB3FFB" w:rsidRPr="00B8299F" w:rsidRDefault="00FB3FFB">
      <w:pPr>
        <w:rPr>
          <w:rFonts w:ascii="Century Gothic" w:hAnsi="Century Gothic"/>
        </w:rPr>
      </w:pPr>
    </w:p>
    <w:p w:rsidR="00FB3FFB" w:rsidRPr="00B8299F" w:rsidRDefault="00FB3FFB">
      <w:pPr>
        <w:rPr>
          <w:rFonts w:ascii="Century Gothic" w:hAnsi="Century Gothic"/>
        </w:rPr>
      </w:pPr>
      <w:r w:rsidRPr="00B8299F">
        <w:rPr>
          <w:rFonts w:ascii="Century Gothic" w:hAnsi="Century Gothic"/>
        </w:rPr>
        <w:t>ŠTUDIJ: 1906 – 1909, Akademija uporabljajočih umetnosti, Dunaj,</w:t>
      </w:r>
    </w:p>
    <w:p w:rsidR="00FB3FFB" w:rsidRPr="00B8299F" w:rsidRDefault="00FB3FFB">
      <w:pPr>
        <w:rPr>
          <w:rFonts w:ascii="Century Gothic" w:hAnsi="Century Gothic"/>
        </w:rPr>
      </w:pPr>
      <w:r w:rsidRPr="00B8299F">
        <w:rPr>
          <w:rFonts w:ascii="Century Gothic" w:hAnsi="Century Gothic"/>
        </w:rPr>
        <w:t>Kasneje je s svojimi prijatelji ustanovil t.i. Skupino nove umetnosti, ki si je prizadevala, da bi pretrgala zveze s tradicionalno umetnostjo. V njegovih zgodnjih delih se kažejo postimpresionistične slogovne značilnosti.</w:t>
      </w:r>
    </w:p>
    <w:p w:rsidR="00FB3FFB" w:rsidRPr="00B8299F" w:rsidRDefault="00FB3FFB">
      <w:pPr>
        <w:rPr>
          <w:rFonts w:ascii="Century Gothic" w:hAnsi="Century Gothic"/>
        </w:rPr>
      </w:pPr>
      <w:r w:rsidRPr="00B8299F">
        <w:rPr>
          <w:rFonts w:ascii="Century Gothic" w:hAnsi="Century Gothic"/>
        </w:rPr>
        <w:t>Dekliški akti iz tega časa so ožigosani kot nemoralni in  je bil zaradi njih leta 1912 obsojen na krajši zapor.</w:t>
      </w:r>
    </w:p>
    <w:p w:rsidR="00FB3FFB" w:rsidRPr="00B8299F" w:rsidRDefault="00FB3FFB">
      <w:pPr>
        <w:rPr>
          <w:rFonts w:ascii="Century Gothic" w:hAnsi="Century Gothic"/>
        </w:rPr>
      </w:pPr>
      <w:r w:rsidRPr="00B8299F">
        <w:rPr>
          <w:rFonts w:ascii="Century Gothic" w:hAnsi="Century Gothic"/>
        </w:rPr>
        <w:t xml:space="preserve">Poleg aktov je v tem </w:t>
      </w:r>
      <w:r w:rsidR="00EC3E63" w:rsidRPr="00B8299F">
        <w:rPr>
          <w:rFonts w:ascii="Century Gothic" w:hAnsi="Century Gothic"/>
        </w:rPr>
        <w:t>plodovitem obdobju ustvarjanja naslikal več portretov, krajin in ekspresionistično predelavo slike Poljub Gustava Klimta z naslovom Kardinal in nuna.</w:t>
      </w:r>
    </w:p>
    <w:p w:rsidR="00EC3E63" w:rsidRPr="00B8299F" w:rsidRDefault="00EC3E63">
      <w:pPr>
        <w:rPr>
          <w:rFonts w:ascii="Century Gothic" w:hAnsi="Century Gothic"/>
        </w:rPr>
      </w:pPr>
      <w:r w:rsidRPr="00B8299F">
        <w:rPr>
          <w:rFonts w:ascii="Century Gothic" w:hAnsi="Century Gothic"/>
        </w:rPr>
        <w:t>Z letom 1912 je se je začel bolj posvečati formalnoslikarskim in oblikovnim problemom. Tako je naslikal več platen po kipu Augusta Rodina, npr. Čepeči.</w:t>
      </w:r>
    </w:p>
    <w:p w:rsidR="00EC3E63" w:rsidRPr="00B8299F" w:rsidRDefault="00EC3E63">
      <w:pPr>
        <w:rPr>
          <w:rFonts w:ascii="Century Gothic" w:hAnsi="Century Gothic"/>
        </w:rPr>
      </w:pPr>
      <w:r w:rsidRPr="00B8299F">
        <w:rPr>
          <w:rFonts w:ascii="Century Gothic" w:hAnsi="Century Gothic"/>
        </w:rPr>
        <w:t>S portretom Heinricha in Otta Benescha je prešel k tektonski gradnji slike, ki jo je ponavljal tudi na mestnih vedutah.</w:t>
      </w:r>
    </w:p>
    <w:p w:rsidR="00EC3E63" w:rsidRPr="00B8299F" w:rsidRDefault="00EC3E63">
      <w:pPr>
        <w:rPr>
          <w:rFonts w:ascii="Century Gothic" w:hAnsi="Century Gothic"/>
        </w:rPr>
      </w:pPr>
      <w:r w:rsidRPr="00B8299F">
        <w:rPr>
          <w:rFonts w:ascii="Century Gothic" w:hAnsi="Century Gothic"/>
        </w:rPr>
        <w:t>Leta 1915 je moral v vojsko; izkušnje iz vojne je upodobil v sliki Smrt in dekle.</w:t>
      </w:r>
    </w:p>
    <w:p w:rsidR="00EC3E63" w:rsidRPr="00B8299F" w:rsidRDefault="00EC3E63">
      <w:pPr>
        <w:rPr>
          <w:rFonts w:ascii="Century Gothic" w:hAnsi="Century Gothic"/>
        </w:rPr>
      </w:pPr>
      <w:r w:rsidRPr="00B8299F">
        <w:rPr>
          <w:rFonts w:ascii="Century Gothic" w:hAnsi="Century Gothic"/>
        </w:rPr>
        <w:t>V letih 1916 – 1918 je njegov slog postal bolj realističen in natančen v detajlih.</w:t>
      </w:r>
    </w:p>
    <w:p w:rsidR="00EC3E63" w:rsidRPr="00B8299F" w:rsidRDefault="00EC3E63">
      <w:pPr>
        <w:rPr>
          <w:rFonts w:ascii="Century Gothic" w:hAnsi="Century Gothic"/>
        </w:rPr>
      </w:pPr>
      <w:r w:rsidRPr="00B8299F">
        <w:rPr>
          <w:rFonts w:ascii="Century Gothic" w:hAnsi="Century Gothic"/>
        </w:rPr>
        <w:t>V tem času je doživel tudi veliko priznanje kot portretist,.</w:t>
      </w:r>
    </w:p>
    <w:sectPr w:rsidR="00EC3E63" w:rsidRPr="00B82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3FFB"/>
    <w:rsid w:val="002078C2"/>
    <w:rsid w:val="006C3CD6"/>
    <w:rsid w:val="008F142F"/>
    <w:rsid w:val="00AD3255"/>
    <w:rsid w:val="00B8299F"/>
    <w:rsid w:val="00D724F5"/>
    <w:rsid w:val="00EC3E63"/>
    <w:rsid w:val="00FB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2019-05-17T07:31:00Z</dcterms:created>
  <dcterms:modified xsi:type="dcterms:W3CDTF">2019-05-17T07:31:00Z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