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014B" w14:textId="77777777" w:rsidR="00FB0406" w:rsidRDefault="00FB0406" w:rsidP="00FB0406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14:paraId="46517BC6" w14:textId="77777777" w:rsidR="00FB0406" w:rsidRDefault="00FB0406" w:rsidP="00FB0406">
      <w:pPr>
        <w:jc w:val="center"/>
        <w:rPr>
          <w:rFonts w:ascii="Comic Sans MS" w:hAnsi="Comic Sans MS"/>
          <w:b/>
          <w:bCs/>
          <w:u w:val="single"/>
        </w:rPr>
      </w:pPr>
    </w:p>
    <w:p w14:paraId="69577B70" w14:textId="77777777" w:rsidR="00FB0406" w:rsidRDefault="00FB0406" w:rsidP="00FB0406">
      <w:pPr>
        <w:jc w:val="center"/>
        <w:rPr>
          <w:rFonts w:ascii="Comic Sans MS" w:hAnsi="Comic Sans MS"/>
          <w:b/>
          <w:bCs/>
          <w:u w:val="single"/>
        </w:rPr>
      </w:pPr>
    </w:p>
    <w:p w14:paraId="67DA56D3" w14:textId="3F06221D" w:rsidR="00FB0406" w:rsidRPr="00BC036D" w:rsidRDefault="00FB0406" w:rsidP="00FB0406">
      <w:pPr>
        <w:jc w:val="center"/>
        <w:rPr>
          <w:rFonts w:ascii="Comic Sans MS" w:hAnsi="Comic Sans MS"/>
          <w:b/>
          <w:bCs/>
          <w:u w:val="single"/>
        </w:rPr>
      </w:pPr>
      <w:r w:rsidRPr="00BC036D">
        <w:rPr>
          <w:rFonts w:ascii="Comic Sans MS" w:hAnsi="Comic Sans MS"/>
          <w:b/>
          <w:bCs/>
          <w:u w:val="single"/>
        </w:rPr>
        <w:t>II. gimnazija Maribor</w:t>
      </w:r>
    </w:p>
    <w:p w14:paraId="3E41C61D" w14:textId="77777777" w:rsidR="00FB0406" w:rsidRDefault="00FB0406" w:rsidP="00FB0406"/>
    <w:p w14:paraId="7C5A2671" w14:textId="77777777" w:rsidR="00FB0406" w:rsidRPr="00BC036D" w:rsidRDefault="00AE0EBE" w:rsidP="00FB0406">
      <w:pPr>
        <w:jc w:val="center"/>
      </w:pPr>
      <w:r>
        <w:pict w14:anchorId="0E4BD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46.05pt">
            <v:imagedata r:id="rId5" o:title="GlavaKljuc"/>
          </v:shape>
        </w:pict>
      </w:r>
    </w:p>
    <w:p w14:paraId="2981AA13" w14:textId="77777777" w:rsidR="00FB0406" w:rsidRDefault="00FB0406" w:rsidP="00FB0406"/>
    <w:p w14:paraId="6E665977" w14:textId="77777777" w:rsidR="00FB0406" w:rsidRDefault="00FB0406" w:rsidP="00FB0406"/>
    <w:p w14:paraId="67831DC5" w14:textId="77777777" w:rsidR="00FB0406" w:rsidRDefault="00FB0406" w:rsidP="00FB0406"/>
    <w:p w14:paraId="2C19EC01" w14:textId="77777777" w:rsidR="00FB0406" w:rsidRDefault="00FB0406" w:rsidP="00FB0406"/>
    <w:p w14:paraId="797FA93E" w14:textId="77777777" w:rsidR="00FB0406" w:rsidRDefault="00FB0406" w:rsidP="00FB0406"/>
    <w:p w14:paraId="318CA948" w14:textId="77777777" w:rsidR="00FB0406" w:rsidRDefault="00FB0406" w:rsidP="00FB0406"/>
    <w:p w14:paraId="7C470F70" w14:textId="77777777" w:rsidR="00FB0406" w:rsidRDefault="00FB0406" w:rsidP="00FB0406"/>
    <w:p w14:paraId="4D282530" w14:textId="77777777" w:rsidR="00FB0406" w:rsidRDefault="00FB0406" w:rsidP="00FB0406"/>
    <w:p w14:paraId="182772B0" w14:textId="77777777" w:rsidR="00FB0406" w:rsidRDefault="00FB0406" w:rsidP="00FB0406"/>
    <w:p w14:paraId="3C679205" w14:textId="77777777" w:rsidR="00FB0406" w:rsidRDefault="00FB0406" w:rsidP="00FB0406">
      <w:pPr>
        <w:jc w:val="center"/>
        <w:rPr>
          <w:rFonts w:ascii="Comic Sans MS" w:hAnsi="Comic Sans MS"/>
          <w:b/>
          <w:u w:val="single"/>
        </w:rPr>
      </w:pPr>
      <w:r w:rsidRPr="00341608">
        <w:rPr>
          <w:rFonts w:ascii="Comic Sans MS" w:hAnsi="Comic Sans MS"/>
          <w:b/>
          <w:u w:val="single"/>
        </w:rPr>
        <w:t>David Teniers ml. : Galerija nadvojvode Leopolda Viljema Avstrijskega</w:t>
      </w:r>
    </w:p>
    <w:p w14:paraId="6C59999D" w14:textId="77777777" w:rsidR="00FB0406" w:rsidRDefault="00FB0406" w:rsidP="00FB0406"/>
    <w:p w14:paraId="44670708" w14:textId="77777777" w:rsidR="00FB0406" w:rsidRDefault="00FB0406" w:rsidP="00FB0406"/>
    <w:p w14:paraId="3F85A66E" w14:textId="77777777" w:rsidR="00FB0406" w:rsidRDefault="00FB0406" w:rsidP="00FB0406"/>
    <w:p w14:paraId="054EB2B7" w14:textId="77777777" w:rsidR="00FB0406" w:rsidRPr="00CC1D34" w:rsidRDefault="00FB0406" w:rsidP="00FB0406"/>
    <w:p w14:paraId="372AC769" w14:textId="77777777" w:rsidR="00FB0406" w:rsidRDefault="00FB0406" w:rsidP="00FB0406">
      <w:pPr>
        <w:jc w:val="center"/>
      </w:pPr>
      <w:r>
        <w:fldChar w:fldCharType="begin"/>
      </w:r>
      <w:r>
        <w:instrText xml:space="preserve"> INCLUDEPICTURE "http://www.abcgallery.com/T/teniers/teniers14.JPG" \* MERGEFORMATINET </w:instrText>
      </w:r>
      <w:r>
        <w:fldChar w:fldCharType="separate"/>
      </w:r>
      <w:r>
        <w:fldChar w:fldCharType="begin"/>
      </w:r>
      <w:r>
        <w:instrText xml:space="preserve"> INCLUDEPICTURE  "http://www.abcgallery.com/T/teniers/teniers14.JPG" \* MERGEFORMATINET </w:instrText>
      </w:r>
      <w:r>
        <w:fldChar w:fldCharType="separate"/>
      </w:r>
      <w:r w:rsidR="00AE0EBE">
        <w:fldChar w:fldCharType="begin"/>
      </w:r>
      <w:r w:rsidR="00AE0EBE">
        <w:instrText xml:space="preserve"> </w:instrText>
      </w:r>
      <w:r w:rsidR="00AE0EBE">
        <w:instrText>INCLUDEPICTURE  "http://www.abcgallery.com/T/teniers/teniers14.JPG" \* MERGEFORM</w:instrText>
      </w:r>
      <w:r w:rsidR="00AE0EBE">
        <w:instrText>ATINET</w:instrText>
      </w:r>
      <w:r w:rsidR="00AE0EBE">
        <w:instrText xml:space="preserve"> </w:instrText>
      </w:r>
      <w:r w:rsidR="00AE0EBE">
        <w:fldChar w:fldCharType="separate"/>
      </w:r>
      <w:r w:rsidR="00AE0EBE">
        <w:pict w14:anchorId="0F8E7991">
          <v:shape id="_x0000_i1026" type="#_x0000_t75" alt="David Teniers the Younger. Archduke Leopold-Willem in his Art Gallery in Brussels." style="width:270.4pt;height:221pt">
            <v:imagedata r:id="rId6" r:href="rId7"/>
          </v:shape>
        </w:pict>
      </w:r>
      <w:r w:rsidR="00AE0EBE">
        <w:fldChar w:fldCharType="end"/>
      </w:r>
      <w:r>
        <w:fldChar w:fldCharType="end"/>
      </w:r>
      <w:r>
        <w:fldChar w:fldCharType="end"/>
      </w:r>
    </w:p>
    <w:p w14:paraId="7F30D212" w14:textId="77777777" w:rsidR="00FB0406" w:rsidRDefault="00FB0406" w:rsidP="00FB0406">
      <w:pPr>
        <w:jc w:val="center"/>
      </w:pPr>
    </w:p>
    <w:p w14:paraId="0EF7EEF5" w14:textId="77777777" w:rsidR="00FB0406" w:rsidRDefault="00FB0406" w:rsidP="00FB0406">
      <w:pPr>
        <w:jc w:val="center"/>
      </w:pPr>
    </w:p>
    <w:p w14:paraId="5896EE91" w14:textId="77777777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314B080B" w14:textId="77777777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26805FE5" w14:textId="5C276DC6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6FAB28F5" w14:textId="144F2BA7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3C4A67D5" w14:textId="0D7E18C5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3988EE7F" w14:textId="77777777" w:rsidR="00FB0406" w:rsidRDefault="00FB0406" w:rsidP="00FB0406">
      <w:pPr>
        <w:jc w:val="right"/>
        <w:rPr>
          <w:rFonts w:ascii="Comic Sans MS" w:hAnsi="Comic Sans MS"/>
          <w:b/>
          <w:u w:val="single"/>
        </w:rPr>
      </w:pPr>
    </w:p>
    <w:p w14:paraId="5AD1397C" w14:textId="77777777" w:rsidR="00FB0406" w:rsidRDefault="00FB0406">
      <w:pPr>
        <w:rPr>
          <w:rFonts w:ascii="Comic Sans MS" w:hAnsi="Comic Sans MS"/>
          <w:sz w:val="22"/>
          <w:szCs w:val="22"/>
          <w:u w:val="single"/>
        </w:rPr>
      </w:pPr>
    </w:p>
    <w:p w14:paraId="0A8410F0" w14:textId="25EB9C20" w:rsidR="00763142" w:rsidRPr="00D25C38" w:rsidRDefault="00763142">
      <w:pPr>
        <w:rPr>
          <w:rFonts w:ascii="Comic Sans MS" w:hAnsi="Comic Sans MS"/>
          <w:sz w:val="22"/>
          <w:szCs w:val="22"/>
          <w:u w:val="single"/>
        </w:rPr>
      </w:pPr>
      <w:r w:rsidRPr="00D25C38">
        <w:rPr>
          <w:rFonts w:ascii="Comic Sans MS" w:hAnsi="Comic Sans MS"/>
          <w:sz w:val="22"/>
          <w:szCs w:val="22"/>
          <w:u w:val="single"/>
        </w:rPr>
        <w:lastRenderedPageBreak/>
        <w:t>O avtorju:</w:t>
      </w:r>
    </w:p>
    <w:p w14:paraId="078A6B15" w14:textId="77777777" w:rsidR="00341608" w:rsidRPr="00D25C38" w:rsidRDefault="00341608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David Teniers ml., sin slikarja Davida Teniersa st., se je rodil leta 1610 v Antwerp</w:t>
      </w:r>
      <w:r w:rsidR="00CC1D34" w:rsidRPr="00D25C38">
        <w:rPr>
          <w:rFonts w:ascii="Comic Sans MS" w:hAnsi="Comic Sans MS"/>
          <w:sz w:val="22"/>
          <w:szCs w:val="22"/>
        </w:rPr>
        <w:t>n</w:t>
      </w:r>
      <w:r w:rsidRPr="00D25C38">
        <w:rPr>
          <w:rFonts w:ascii="Comic Sans MS" w:hAnsi="Comic Sans MS"/>
          <w:sz w:val="22"/>
          <w:szCs w:val="22"/>
        </w:rPr>
        <w:t>u. Njegov prvi in glavni učitelj slikanja je bil prav njegov oče. David Teniers st. ni bil zelo uspešen in je bil celo v zaporu, medtem ko je njegov sin David Teniers ml. postal znan po vsej Evropi.</w:t>
      </w:r>
    </w:p>
    <w:p w14:paraId="643AB854" w14:textId="77777777" w:rsidR="00341608" w:rsidRPr="00D25C38" w:rsidRDefault="00341608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V začetku leta 1630 se je Teniers ml. spoprijateljil z Brouwerjer, ki je imel zelo velik vpliv nanj. V tem času je delal v Antwerp</w:t>
      </w:r>
      <w:r w:rsidR="00CC1D34" w:rsidRPr="00D25C38">
        <w:rPr>
          <w:rFonts w:ascii="Comic Sans MS" w:hAnsi="Comic Sans MS"/>
          <w:sz w:val="22"/>
          <w:szCs w:val="22"/>
        </w:rPr>
        <w:t>n</w:t>
      </w:r>
      <w:r w:rsidRPr="00D25C38">
        <w:rPr>
          <w:rFonts w:ascii="Comic Sans MS" w:hAnsi="Comic Sans MS"/>
          <w:sz w:val="22"/>
          <w:szCs w:val="22"/>
        </w:rPr>
        <w:t xml:space="preserve">u, kjer je leta 1632 postal član ceha Sv. Luke in je leta 1645 bil izbran kot njegov diakon. Leta 1637 se je poročil in zakon je bil </w:t>
      </w:r>
      <w:r w:rsidR="000E592E" w:rsidRPr="00D25C38">
        <w:rPr>
          <w:rFonts w:ascii="Comic Sans MS" w:hAnsi="Comic Sans MS"/>
          <w:sz w:val="22"/>
          <w:szCs w:val="22"/>
        </w:rPr>
        <w:t>njegova uspešna finančna spodbuda: talent je bil resen in poleg tega je Teniersa ml. prineslo v krog velikih umetnikov.</w:t>
      </w:r>
    </w:p>
    <w:p w14:paraId="3BBE5518" w14:textId="77777777" w:rsidR="00CC1D34" w:rsidRPr="00D25C38" w:rsidRDefault="000E592E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Leta 1651 se je Teniers preselil v Bruselj, kjer je bil imenovan za dvorskega slikarja in direktorja umetnostne galerije španskega generala Leopolda Viljema. Ustanovil je Umetnostno akademijo Antwerp</w:t>
      </w:r>
      <w:r w:rsidR="00CC1D34" w:rsidRPr="00D25C38">
        <w:rPr>
          <w:rFonts w:ascii="Comic Sans MS" w:hAnsi="Comic Sans MS"/>
          <w:sz w:val="22"/>
          <w:szCs w:val="22"/>
        </w:rPr>
        <w:t>en</w:t>
      </w:r>
      <w:r w:rsidRPr="00D25C38">
        <w:rPr>
          <w:rFonts w:ascii="Comic Sans MS" w:hAnsi="Comic Sans MS"/>
          <w:sz w:val="22"/>
          <w:szCs w:val="22"/>
        </w:rPr>
        <w:t xml:space="preserve"> (1663). Naslikal je nekaj več kot 2000 del. Sledil je modi in zahtevam njegovih strank Slikal je vse: žanrske slike, portrete, živali, pokrajino, verske priz</w:t>
      </w:r>
      <w:r w:rsidR="00CC1D34" w:rsidRPr="00D25C38">
        <w:rPr>
          <w:rFonts w:ascii="Comic Sans MS" w:hAnsi="Comic Sans MS"/>
          <w:sz w:val="22"/>
          <w:szCs w:val="22"/>
        </w:rPr>
        <w:t xml:space="preserve">ore, tihožitje, lovske prizore in alegorične predmete. </w:t>
      </w:r>
    </w:p>
    <w:p w14:paraId="0FD346C0" w14:textId="77777777" w:rsidR="00CC1D34" w:rsidRPr="00D25C38" w:rsidRDefault="00CC1D34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Njegove slike, ki prikazujejo vsakdanje flandrijsko življenje, so velik vpliv Brouwerja, saj so osenčene z modro, rdečo in sivo barvo.</w:t>
      </w:r>
    </w:p>
    <w:p w14:paraId="374DDCBD" w14:textId="77777777" w:rsidR="00CC1D34" w:rsidRPr="00D25C38" w:rsidRDefault="00CC1D34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 xml:space="preserve">Teniersova dela so bila zelo popularna skozi 18. stoletje in vsi pripadniki višjih slojev v Evropi so jih hiteli kupovat. David Teniers ml. je umrl leta 1690 v Bruslju. </w:t>
      </w:r>
    </w:p>
    <w:p w14:paraId="4119FFD9" w14:textId="77777777" w:rsidR="00CC1D34" w:rsidRPr="00D25C38" w:rsidRDefault="00CC1D34">
      <w:pPr>
        <w:rPr>
          <w:rFonts w:ascii="Comic Sans MS" w:hAnsi="Comic Sans MS"/>
          <w:sz w:val="22"/>
          <w:szCs w:val="22"/>
        </w:rPr>
      </w:pPr>
    </w:p>
    <w:p w14:paraId="1D7902B9" w14:textId="77777777" w:rsidR="00763142" w:rsidRPr="00D25C38" w:rsidRDefault="00763142">
      <w:pPr>
        <w:rPr>
          <w:rFonts w:ascii="Comic Sans MS" w:hAnsi="Comic Sans MS"/>
          <w:sz w:val="22"/>
          <w:szCs w:val="22"/>
          <w:u w:val="single"/>
        </w:rPr>
      </w:pPr>
      <w:r w:rsidRPr="00D25C38">
        <w:rPr>
          <w:rFonts w:ascii="Comic Sans MS" w:hAnsi="Comic Sans MS"/>
          <w:sz w:val="22"/>
          <w:szCs w:val="22"/>
          <w:u w:val="single"/>
        </w:rPr>
        <w:t>O delu:</w:t>
      </w:r>
    </w:p>
    <w:p w14:paraId="466A3358" w14:textId="77777777" w:rsidR="00CD097A" w:rsidRPr="00D25C38" w:rsidRDefault="00CD097A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Na sliki Galerija nadvojvode Leopolda Viljema Avstrijskega so podrobno predstavljene znane slike iz nadvojvodine zbirke.</w:t>
      </w:r>
      <w:r w:rsidR="00AD6B58" w:rsidRPr="00D25C38">
        <w:rPr>
          <w:rFonts w:ascii="Comic Sans MS" w:hAnsi="Comic Sans MS"/>
          <w:sz w:val="22"/>
          <w:szCs w:val="22"/>
        </w:rPr>
        <w:t xml:space="preserve"> Leopold Viljem (1614-1662), najpomembnejši zbiralec med Habsburžani, je večino od svojih 1400 slik zbral med bivanjem na Nizozemskem, danes pa jih hrani Umetnostnozgodovinski muzej na Dunaju.</w:t>
      </w:r>
      <w:r w:rsidRPr="00D25C38">
        <w:rPr>
          <w:rFonts w:ascii="Comic Sans MS" w:hAnsi="Comic Sans MS"/>
          <w:sz w:val="22"/>
          <w:szCs w:val="22"/>
        </w:rPr>
        <w:t xml:space="preserve"> Teniers je naredil tudi kopije 246 slik iz te zbirke in jih fotografiral, da bi si pomagal pri slikanju podrobnosti. </w:t>
      </w:r>
    </w:p>
    <w:p w14:paraId="7340A363" w14:textId="77777777" w:rsidR="00AD6B58" w:rsidRPr="00D25C38" w:rsidRDefault="00CD097A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 xml:space="preserve">Slika je nastala okoli leta 1647. </w:t>
      </w:r>
    </w:p>
    <w:p w14:paraId="11C906CD" w14:textId="77777777" w:rsidR="00876ED2" w:rsidRPr="00D25C38" w:rsidRDefault="00876ED2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Nekaj predstavljenih del na sliki:</w:t>
      </w:r>
    </w:p>
    <w:p w14:paraId="6816A76F" w14:textId="77777777" w:rsidR="00AD6B58" w:rsidRPr="00D25C38" w:rsidRDefault="00876ED2" w:rsidP="008C2E24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Veronese</w:t>
      </w:r>
      <w:r w:rsidR="00AD6B58" w:rsidRPr="00D25C38">
        <w:rPr>
          <w:rFonts w:ascii="Comic Sans MS" w:hAnsi="Comic Sans MS"/>
          <w:sz w:val="22"/>
          <w:szCs w:val="22"/>
        </w:rPr>
        <w:t xml:space="preserve"> (1528-1588)</w:t>
      </w:r>
      <w:r w:rsidRPr="00D25C38">
        <w:rPr>
          <w:rFonts w:ascii="Comic Sans MS" w:hAnsi="Comic Sans MS"/>
          <w:sz w:val="22"/>
          <w:szCs w:val="22"/>
        </w:rPr>
        <w:t>: Jezus obudi mladeniča iz Náinu</w:t>
      </w:r>
      <w:r w:rsidR="00AD6B58" w:rsidRPr="00D25C38">
        <w:rPr>
          <w:rFonts w:ascii="Comic Sans MS" w:hAnsi="Comic Sans MS"/>
          <w:sz w:val="22"/>
          <w:szCs w:val="22"/>
        </w:rPr>
        <w:t xml:space="preserve"> (1568)</w:t>
      </w:r>
    </w:p>
    <w:p w14:paraId="482239AC" w14:textId="77777777" w:rsidR="00AD6B58" w:rsidRPr="00D25C38" w:rsidRDefault="00AD6B58" w:rsidP="008C2E24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Veronese: Poklon kraljev (1580)</w:t>
      </w:r>
    </w:p>
    <w:p w14:paraId="640B47FC" w14:textId="77777777" w:rsidR="00AD6B58" w:rsidRPr="00D25C38" w:rsidRDefault="00AD6B58" w:rsidP="008C2E24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Tizian (ok. 1488-1576): Pastir in nimfa (1570)</w:t>
      </w:r>
    </w:p>
    <w:p w14:paraId="1FD579D9" w14:textId="77777777" w:rsidR="00AD6B58" w:rsidRPr="00D25C38" w:rsidRDefault="00AD6B58" w:rsidP="008C2E24">
      <w:pPr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Tizian: Diana in Kalisto (1560)</w:t>
      </w:r>
    </w:p>
    <w:p w14:paraId="5BB03181" w14:textId="77777777" w:rsidR="00AD6B58" w:rsidRPr="00D25C38" w:rsidRDefault="00AD6B58" w:rsidP="008C2E24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Tizian: Violante (1516)</w:t>
      </w:r>
    </w:p>
    <w:p w14:paraId="1167FA22" w14:textId="77777777" w:rsidR="00876ED2" w:rsidRPr="00D25C38" w:rsidRDefault="00AD6B58" w:rsidP="008C2E24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Giorgione (ok. 1477-1510): Laura (1506)</w:t>
      </w:r>
    </w:p>
    <w:p w14:paraId="5CF39CC7" w14:textId="77777777" w:rsidR="00763142" w:rsidRPr="00D25C38" w:rsidRDefault="00AD6B58" w:rsidP="00763142">
      <w:pPr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D25C38">
        <w:rPr>
          <w:sz w:val="22"/>
          <w:szCs w:val="22"/>
        </w:rPr>
        <w:t>Giorgione: Trije filozofi (1508)</w:t>
      </w:r>
    </w:p>
    <w:p w14:paraId="08D26180" w14:textId="77777777" w:rsidR="00763142" w:rsidRPr="00D25C38" w:rsidRDefault="00763142" w:rsidP="00763142">
      <w:pPr>
        <w:rPr>
          <w:sz w:val="22"/>
          <w:szCs w:val="22"/>
        </w:rPr>
      </w:pPr>
    </w:p>
    <w:p w14:paraId="09F331DC" w14:textId="77777777" w:rsidR="00763142" w:rsidRPr="00D25C38" w:rsidRDefault="00763142" w:rsidP="00763142">
      <w:pPr>
        <w:rPr>
          <w:rFonts w:ascii="Comic Sans MS" w:hAnsi="Comic Sans MS"/>
          <w:sz w:val="22"/>
          <w:szCs w:val="22"/>
        </w:rPr>
      </w:pPr>
    </w:p>
    <w:p w14:paraId="51CC8DE7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  <w:u w:val="single"/>
        </w:rPr>
      </w:pPr>
      <w:r w:rsidRPr="00D25C38">
        <w:rPr>
          <w:rFonts w:ascii="Comic Sans MS" w:hAnsi="Comic Sans MS"/>
          <w:bCs/>
          <w:sz w:val="22"/>
          <w:szCs w:val="22"/>
          <w:u w:val="single"/>
        </w:rPr>
        <w:t>O obdobju:</w:t>
      </w:r>
    </w:p>
    <w:p w14:paraId="2F6CAD9D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 xml:space="preserve">Pod imenom barok označujemo stilsko stopnjo v Evropski umetnosti in kulturo v obdobju med renesanso in klasicizmom, torej med </w:t>
      </w:r>
      <w:smartTag w:uri="urn:schemas-microsoft-com:office:smarttags" w:element="metricconverter">
        <w:smartTagPr>
          <w:attr w:name="ProductID" w:val="17. in"/>
        </w:smartTagPr>
        <w:r w:rsidRPr="00D25C38">
          <w:rPr>
            <w:rFonts w:ascii="Comic Sans MS" w:hAnsi="Comic Sans MS"/>
            <w:bCs/>
            <w:sz w:val="22"/>
            <w:szCs w:val="22"/>
          </w:rPr>
          <w:t>17. in</w:t>
        </w:r>
      </w:smartTag>
      <w:r w:rsidRPr="00D25C38">
        <w:rPr>
          <w:rFonts w:ascii="Comic Sans MS" w:hAnsi="Comic Sans MS"/>
          <w:bCs/>
          <w:sz w:val="22"/>
          <w:szCs w:val="22"/>
        </w:rPr>
        <w:t xml:space="preserve"> 18. stoletjem. V to obdobje je všteta tudi njegova končna faza rokoko.</w:t>
      </w:r>
    </w:p>
    <w:p w14:paraId="774D1994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Beseda barok (barocco) naj bi prvotno pomenila pojem logičnega sklepanja.</w:t>
      </w:r>
    </w:p>
    <w:p w14:paraId="63DB2FC9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Beseda se lahko nanaša tudi na biser bizarnih, nepravilnih in manjvrednih oblik.</w:t>
      </w:r>
    </w:p>
    <w:p w14:paraId="6AC516F2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lastRenderedPageBreak/>
        <w:t>V prenesenem pomenu, bi pojem barok moral označevati stvari, ki so pretirane, izumetničene, nesimetrične in popolnoma v nasprotju z antično inspirirano harmonijo renesanse in klasicizma.</w:t>
      </w:r>
    </w:p>
    <w:p w14:paraId="260E3575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Do 18. stoletja je barok veljal za nekaj nepravilnega patetičnega, in s klasičnega vidika estetike tudi čudnega. Šele v drugi polovici 19. stoletja so se začeli zavedati njegove prave vrednosti, ki je bila takrat že preteklost.</w:t>
      </w:r>
    </w:p>
    <w:p w14:paraId="0A258094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Domovina baroka je bila Italija in razvil se je iz pozne renesanse, nastal je iz potrebe po prenovi pa tudi zaradi potreb fevdalne dvorske predstavitve v okviru absolutizma.</w:t>
      </w:r>
    </w:p>
    <w:p w14:paraId="5BC274A5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</w:p>
    <w:p w14:paraId="4E01D7B3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</w:p>
    <w:p w14:paraId="37BCCE3C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Barok razdelimo:</w:t>
      </w:r>
    </w:p>
    <w:p w14:paraId="6140B653" w14:textId="77777777" w:rsidR="00763142" w:rsidRPr="00D25C38" w:rsidRDefault="00763142" w:rsidP="00763142">
      <w:pPr>
        <w:numPr>
          <w:ilvl w:val="0"/>
          <w:numId w:val="18"/>
        </w:num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zgodnji barok (1580-1633 Berninijev glavni oltar v baziliki sv. Petra v Rimu),</w:t>
      </w:r>
    </w:p>
    <w:p w14:paraId="0A9F88E3" w14:textId="77777777" w:rsidR="00763142" w:rsidRPr="00D25C38" w:rsidRDefault="00763142" w:rsidP="00D25C38">
      <w:pPr>
        <w:numPr>
          <w:ilvl w:val="0"/>
          <w:numId w:val="18"/>
        </w:numPr>
        <w:tabs>
          <w:tab w:val="clear" w:pos="420"/>
          <w:tab w:val="num" w:pos="0"/>
        </w:tabs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visoki (1633-1700),</w:t>
      </w:r>
    </w:p>
    <w:p w14:paraId="2553342C" w14:textId="77777777" w:rsidR="00763142" w:rsidRPr="00D25C38" w:rsidRDefault="00763142" w:rsidP="00763142">
      <w:pPr>
        <w:numPr>
          <w:ilvl w:val="0"/>
          <w:numId w:val="18"/>
        </w:num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pozni (1700-1751).</w:t>
      </w:r>
    </w:p>
    <w:p w14:paraId="04054F4F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 arhitekturi barok sledi prostorskemu občutju, stopnjevanju, modelaciji, kopičenju elementov in profilov ter konkavnim in konveksnim ukrivljenjem stenskih ploskev.</w:t>
      </w:r>
    </w:p>
    <w:p w14:paraId="5AC03C93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 zgodnjem baroku prevladuje longitudinalna razporeditev, v poznem pa centralna razporeditev konstrukcijskih elementov.</w:t>
      </w:r>
    </w:p>
    <w:p w14:paraId="1BE0BA0E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 obeh primerih je prostor načelno centriran, edinstven, dinamičen, bočni prostori so podrejeni glavnemu, torej podrejenost dominati (fasada, kupola, glavni oltar).</w:t>
      </w:r>
    </w:p>
    <w:p w14:paraId="174E7F15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 Oživijo lupine prostora, iz njih se izvijajo težki kanelirani pilastri, nosilec je del masivnega sklopa sten, ki je prekinjen z nišami in plastičnimi elementi (girlande, maske, festoni).</w:t>
      </w:r>
    </w:p>
    <w:p w14:paraId="396E13DC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Značilni so tudi profilirani zidni venci, loki, grede. Kapiteli so kompozitni in korintski, portalni in okenski okvirji, konzole, itd.</w:t>
      </w:r>
    </w:p>
    <w:p w14:paraId="4EFCA07C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 prostoru se uporabljalo kontrasti med močno osvetljenimi deli in deli, ki so skriti v senci, stebri so polni spiralnih zavojev, mehkih in ovalnih črt, uporabljena je tudi perspektiva.</w:t>
      </w:r>
    </w:p>
    <w:p w14:paraId="4CA58C6A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Vidno je dekorativno delovanje, pisanost materiala, igra svetlobe, pozlačenost, marmoriranje, štukature, kovina, steklo, zrcaljenje poliranih površin itd.</w:t>
      </w:r>
    </w:p>
    <w:p w14:paraId="06089069" w14:textId="77777777" w:rsidR="00763142" w:rsidRPr="00D25C38" w:rsidRDefault="00763142" w:rsidP="00763142">
      <w:pPr>
        <w:rPr>
          <w:rFonts w:ascii="Comic Sans MS" w:hAnsi="Comic Sans MS"/>
          <w:bCs/>
          <w:sz w:val="22"/>
          <w:szCs w:val="22"/>
        </w:rPr>
      </w:pPr>
      <w:r w:rsidRPr="00D25C38">
        <w:rPr>
          <w:rFonts w:ascii="Comic Sans MS" w:hAnsi="Comic Sans MS"/>
          <w:bCs/>
          <w:sz w:val="22"/>
          <w:szCs w:val="22"/>
        </w:rPr>
        <w:t>Z barokom profana arhitektura dobi značaj razkošja, monumentalnosti in blišča; to doseže s parki, ribniki, fontanami, spomeniki itd.</w:t>
      </w:r>
    </w:p>
    <w:p w14:paraId="1198ADB7" w14:textId="77777777" w:rsidR="00763142" w:rsidRPr="00D25C38" w:rsidRDefault="00763142" w:rsidP="00763142">
      <w:pPr>
        <w:rPr>
          <w:rFonts w:ascii="Comic Sans MS" w:hAnsi="Comic Sans MS"/>
          <w:sz w:val="22"/>
          <w:szCs w:val="22"/>
        </w:rPr>
      </w:pPr>
    </w:p>
    <w:p w14:paraId="294D0758" w14:textId="77777777" w:rsidR="00D25C38" w:rsidRPr="00D25C38" w:rsidRDefault="00CD097A" w:rsidP="00D25C38">
      <w:pPr>
        <w:rPr>
          <w:rFonts w:ascii="Comic Sans MS" w:hAnsi="Comic Sans MS"/>
          <w:sz w:val="22"/>
          <w:szCs w:val="22"/>
          <w:u w:val="single"/>
        </w:rPr>
      </w:pPr>
      <w:r w:rsidRPr="00D25C38">
        <w:rPr>
          <w:rFonts w:ascii="Comic Sans MS" w:hAnsi="Comic Sans MS"/>
          <w:sz w:val="22"/>
          <w:szCs w:val="22"/>
          <w:u w:val="single"/>
        </w:rPr>
        <w:t xml:space="preserve"> </w:t>
      </w:r>
      <w:r w:rsidR="00D25C38" w:rsidRPr="00D25C38">
        <w:rPr>
          <w:rFonts w:ascii="Comic Sans MS" w:hAnsi="Comic Sans MS"/>
          <w:sz w:val="22"/>
          <w:szCs w:val="22"/>
          <w:u w:val="single"/>
        </w:rPr>
        <w:t>Viri:</w:t>
      </w:r>
    </w:p>
    <w:p w14:paraId="0B1F87D9" w14:textId="77777777" w:rsidR="00D25C38" w:rsidRPr="00D25C38" w:rsidRDefault="00D25C38" w:rsidP="00D25C38">
      <w:pPr>
        <w:rPr>
          <w:rFonts w:ascii="Comic Sans MS" w:hAnsi="Comic Sans MS"/>
          <w:sz w:val="22"/>
          <w:szCs w:val="22"/>
          <w:u w:val="single"/>
        </w:rPr>
      </w:pPr>
      <w:r w:rsidRPr="00D25C38">
        <w:rPr>
          <w:rFonts w:ascii="Comic Sans MS" w:hAnsi="Comic Sans MS"/>
          <w:sz w:val="22"/>
          <w:szCs w:val="22"/>
        </w:rPr>
        <w:t>- Zgodovina kiparske, slikarske in arhitekturne umetnosti</w:t>
      </w:r>
    </w:p>
    <w:p w14:paraId="53AB513E" w14:textId="77777777" w:rsidR="00D25C38" w:rsidRPr="00D25C38" w:rsidRDefault="00D25C38" w:rsidP="00D25C38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- Enciklopedija likovnih umetnosti</w:t>
      </w:r>
    </w:p>
    <w:p w14:paraId="6E58A750" w14:textId="77777777" w:rsidR="00D25C38" w:rsidRPr="00D25C38" w:rsidRDefault="00D25C38" w:rsidP="00D25C38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- abc umetnostne zgodovine; delovni zvezek za 1. letnik gimnazij</w:t>
      </w:r>
    </w:p>
    <w:p w14:paraId="5A17A890" w14:textId="77777777" w:rsidR="00D25C38" w:rsidRPr="00D25C38" w:rsidRDefault="00D25C38" w:rsidP="00D25C38">
      <w:pPr>
        <w:rPr>
          <w:rFonts w:ascii="Comic Sans MS" w:hAnsi="Comic Sans MS"/>
          <w:sz w:val="22"/>
          <w:szCs w:val="22"/>
        </w:rPr>
      </w:pPr>
      <w:r w:rsidRPr="00D25C38">
        <w:rPr>
          <w:rFonts w:ascii="Comic Sans MS" w:hAnsi="Comic Sans MS"/>
          <w:sz w:val="22"/>
          <w:szCs w:val="22"/>
        </w:rPr>
        <w:t>- internet</w:t>
      </w:r>
    </w:p>
    <w:p w14:paraId="58AA89EE" w14:textId="77777777" w:rsidR="00D25C38" w:rsidRPr="00D25C38" w:rsidRDefault="00D25C38" w:rsidP="00D25C38">
      <w:pPr>
        <w:rPr>
          <w:rFonts w:ascii="Comic Sans MS" w:hAnsi="Comic Sans MS"/>
          <w:sz w:val="20"/>
          <w:szCs w:val="20"/>
        </w:rPr>
      </w:pPr>
    </w:p>
    <w:p w14:paraId="234542EB" w14:textId="77777777" w:rsidR="00BC036D" w:rsidRDefault="00BC036D" w:rsidP="00FB0406">
      <w:pPr>
        <w:rPr>
          <w:rFonts w:ascii="Comic Sans MS" w:hAnsi="Comic Sans MS"/>
          <w:b/>
          <w:u w:val="single"/>
        </w:rPr>
      </w:pPr>
    </w:p>
    <w:sectPr w:rsidR="00BC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A29"/>
    <w:multiLevelType w:val="hybridMultilevel"/>
    <w:tmpl w:val="DC6CC43A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CF1"/>
    <w:multiLevelType w:val="hybridMultilevel"/>
    <w:tmpl w:val="5CAE154A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F79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55F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6246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918"/>
    <w:multiLevelType w:val="hybridMultilevel"/>
    <w:tmpl w:val="D026CA1A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714"/>
    <w:multiLevelType w:val="hybridMultilevel"/>
    <w:tmpl w:val="0E982FF2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C366A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6F8"/>
    <w:multiLevelType w:val="hybridMultilevel"/>
    <w:tmpl w:val="B426B9FE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67F4"/>
    <w:multiLevelType w:val="hybridMultilevel"/>
    <w:tmpl w:val="8E1E8E1E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1275"/>
    <w:multiLevelType w:val="hybridMultilevel"/>
    <w:tmpl w:val="708C14AE"/>
    <w:lvl w:ilvl="0" w:tplc="6A5258C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4A19CB"/>
    <w:multiLevelType w:val="hybridMultilevel"/>
    <w:tmpl w:val="7D9E7E1E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6B6D"/>
    <w:multiLevelType w:val="hybridMultilevel"/>
    <w:tmpl w:val="E4760C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753"/>
    <w:multiLevelType w:val="hybridMultilevel"/>
    <w:tmpl w:val="BC64EB98"/>
    <w:lvl w:ilvl="0" w:tplc="F7562B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1E103F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742B5"/>
    <w:multiLevelType w:val="multilevel"/>
    <w:tmpl w:val="BC64EB9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FD7945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9625B"/>
    <w:multiLevelType w:val="hybridMultilevel"/>
    <w:tmpl w:val="5CB87010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A9B7D93"/>
    <w:multiLevelType w:val="hybridMultilevel"/>
    <w:tmpl w:val="83AABA3E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C2E32"/>
    <w:multiLevelType w:val="multilevel"/>
    <w:tmpl w:val="708C14A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7264C11"/>
    <w:multiLevelType w:val="hybridMultilevel"/>
    <w:tmpl w:val="F536A82C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AE9141A"/>
    <w:multiLevelType w:val="multilevel"/>
    <w:tmpl w:val="0E982FF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F70BF"/>
    <w:multiLevelType w:val="multilevel"/>
    <w:tmpl w:val="BC64EB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17"/>
  </w:num>
  <w:num w:numId="7">
    <w:abstractNumId w:val="21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608"/>
    <w:rsid w:val="000E592E"/>
    <w:rsid w:val="00341608"/>
    <w:rsid w:val="00763142"/>
    <w:rsid w:val="00876ED2"/>
    <w:rsid w:val="008C2E24"/>
    <w:rsid w:val="008E68FB"/>
    <w:rsid w:val="00A65D0A"/>
    <w:rsid w:val="00AD6B58"/>
    <w:rsid w:val="00AE0EBE"/>
    <w:rsid w:val="00BC036D"/>
    <w:rsid w:val="00C8399B"/>
    <w:rsid w:val="00CC1D34"/>
    <w:rsid w:val="00CD097A"/>
    <w:rsid w:val="00D25C38"/>
    <w:rsid w:val="00D56C32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6115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314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bcgallery.com/T/teniers/teniers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