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0ACE" w:rsidRDefault="006D7EB0">
      <w:pPr>
        <w:pStyle w:val="BodyText"/>
        <w:rPr>
          <w:b/>
          <w:bCs/>
          <w:iCs/>
          <w:sz w:val="36"/>
        </w:rPr>
      </w:pPr>
      <w:bookmarkStart w:id="0" w:name="_GoBack"/>
      <w:bookmarkEnd w:id="0"/>
      <w:r>
        <w:rPr>
          <w:b/>
          <w:bCs/>
          <w:iCs/>
          <w:sz w:val="36"/>
        </w:rPr>
        <w:t>UMETNOST EGEJSKIH KULTUR</w:t>
      </w:r>
    </w:p>
    <w:p w:rsidR="003E0ACE" w:rsidRDefault="006D7EB0">
      <w:pPr>
        <w:pStyle w:val="BodyText"/>
        <w:rPr>
          <w:iCs/>
        </w:rPr>
      </w:pPr>
      <w:r>
        <w:rPr>
          <w:iCs/>
        </w:rPr>
        <w:t xml:space="preserve">Razvila se je v 3. tisočletju pred našim štetjem in jo delimo na tri obdobja, ki se imenujejo po njihovih središčih: </w:t>
      </w:r>
    </w:p>
    <w:p w:rsidR="003E0ACE" w:rsidRDefault="006D7EB0">
      <w:pPr>
        <w:pStyle w:val="BodyText"/>
        <w:rPr>
          <w:b/>
          <w:bCs/>
          <w:iCs/>
        </w:rPr>
      </w:pPr>
      <w:r>
        <w:rPr>
          <w:b/>
          <w:bCs/>
          <w:iCs/>
        </w:rPr>
        <w:t xml:space="preserve">Kikladska kultura </w:t>
      </w:r>
    </w:p>
    <w:p w:rsidR="003E0ACE" w:rsidRDefault="006D7EB0">
      <w:pPr>
        <w:pStyle w:val="BodyText"/>
        <w:rPr>
          <w:iCs/>
        </w:rPr>
      </w:pPr>
      <w:r>
        <w:rPr>
          <w:iCs/>
        </w:rPr>
        <w:t xml:space="preserve">Poznamo jo po uporabnih predmetih, čeprav številnim kultnim kipcem pomena ne moremo določiti. V nasprotju z prazgodovino so na simbolih rodovitnosti ženske značilnosti komaj nakazane. </w:t>
      </w:r>
    </w:p>
    <w:p w:rsidR="003E0ACE" w:rsidRDefault="006D7EB0">
      <w:pPr>
        <w:pStyle w:val="BodyText"/>
        <w:rPr>
          <w:b/>
          <w:bCs/>
          <w:iCs/>
        </w:rPr>
      </w:pPr>
      <w:r>
        <w:rPr>
          <w:b/>
          <w:bCs/>
          <w:iCs/>
        </w:rPr>
        <w:t>Kretska oz. minojska kultura</w:t>
      </w:r>
    </w:p>
    <w:p w:rsidR="003E0ACE" w:rsidRDefault="006D7EB0">
      <w:pPr>
        <w:pStyle w:val="BodyText"/>
        <w:rPr>
          <w:iCs/>
        </w:rPr>
      </w:pPr>
      <w:r>
        <w:rPr>
          <w:iCs/>
        </w:rPr>
        <w:t xml:space="preserve">Značilna je preprostost in neposrednost, saj se upodobitve navezujejo na vsakdanje življenje v nasprotju z egipčanskimi in mezopotamskimi, ko umetnost nastaja zaradi verovanja v posmrtno življenje. </w:t>
      </w:r>
    </w:p>
    <w:p w:rsidR="003E0ACE" w:rsidRDefault="006D7EB0">
      <w:pPr>
        <w:pStyle w:val="BodyText"/>
        <w:rPr>
          <w:iCs/>
        </w:rPr>
      </w:pPr>
      <w:r>
        <w:rPr>
          <w:iCs/>
        </w:rPr>
        <w:t>Kretsko umetnost delimo na štiri obdobja:</w:t>
      </w:r>
    </w:p>
    <w:p w:rsidR="003E0ACE" w:rsidRDefault="006D7EB0">
      <w:pPr>
        <w:pStyle w:val="BodyText"/>
        <w:numPr>
          <w:ilvl w:val="0"/>
          <w:numId w:val="1"/>
        </w:numPr>
        <w:tabs>
          <w:tab w:val="left" w:pos="833"/>
        </w:tabs>
        <w:rPr>
          <w:iCs/>
        </w:rPr>
      </w:pPr>
      <w:r>
        <w:rPr>
          <w:iCs/>
        </w:rPr>
        <w:t xml:space="preserve">Čas pred palačami, </w:t>
      </w:r>
    </w:p>
    <w:p w:rsidR="003E0ACE" w:rsidRDefault="006D7EB0">
      <w:pPr>
        <w:pStyle w:val="BodyText"/>
        <w:numPr>
          <w:ilvl w:val="0"/>
          <w:numId w:val="1"/>
        </w:numPr>
        <w:tabs>
          <w:tab w:val="left" w:pos="833"/>
        </w:tabs>
        <w:rPr>
          <w:iCs/>
        </w:rPr>
      </w:pPr>
      <w:r>
        <w:rPr>
          <w:iCs/>
        </w:rPr>
        <w:t xml:space="preserve">vek starih palač, </w:t>
      </w:r>
    </w:p>
    <w:p w:rsidR="003E0ACE" w:rsidRDefault="006D7EB0">
      <w:pPr>
        <w:pStyle w:val="BodyText"/>
        <w:numPr>
          <w:ilvl w:val="0"/>
          <w:numId w:val="1"/>
        </w:numPr>
        <w:tabs>
          <w:tab w:val="left" w:pos="833"/>
        </w:tabs>
        <w:rPr>
          <w:iCs/>
        </w:rPr>
      </w:pPr>
      <w:r>
        <w:rPr>
          <w:iCs/>
        </w:rPr>
        <w:t>vek mlajših palač,</w:t>
      </w:r>
    </w:p>
    <w:p w:rsidR="003E0ACE" w:rsidRDefault="006D7EB0">
      <w:pPr>
        <w:pStyle w:val="BodyText"/>
        <w:numPr>
          <w:ilvl w:val="0"/>
          <w:numId w:val="1"/>
        </w:numPr>
        <w:tabs>
          <w:tab w:val="left" w:pos="833"/>
        </w:tabs>
        <w:rPr>
          <w:iCs/>
        </w:rPr>
      </w:pPr>
      <w:r>
        <w:rPr>
          <w:iCs/>
        </w:rPr>
        <w:t xml:space="preserve">usihanje kulture.     </w:t>
      </w:r>
    </w:p>
    <w:p w:rsidR="003E0ACE" w:rsidRDefault="006D7EB0">
      <w:pPr>
        <w:pStyle w:val="BodyText"/>
        <w:rPr>
          <w:iCs/>
        </w:rPr>
      </w:pPr>
      <w:r>
        <w:rPr>
          <w:iCs/>
        </w:rPr>
        <w:t xml:space="preserve">Edini zanimivi spomeniki stavbarstva so dvorci. Za palače je značilno, da so bile manjše kot egipčanske in mezopotamske, ni značilna logična razporejenost prostora ali veličastnost odlikuje pa jih udobje, dostopnost in fantazijska notranjščina, stopničasto se raztezajo p pobočjih, zaradi neravnega reliefa imajo nepravilen tloris, slovesnosti so se odvijale na glavnem dvorišču, o čemer nam pričajo stenske slikarije, kjer vidimo začetek grškega gledališča. </w:t>
      </w:r>
    </w:p>
    <w:p w:rsidR="003E0ACE" w:rsidRDefault="006D7EB0">
      <w:pPr>
        <w:pStyle w:val="BodyText"/>
        <w:rPr>
          <w:b/>
          <w:bCs/>
          <w:iCs/>
        </w:rPr>
      </w:pPr>
      <w:r>
        <w:rPr>
          <w:b/>
          <w:bCs/>
          <w:iCs/>
        </w:rPr>
        <w:t>Mikenska kultura</w:t>
      </w:r>
    </w:p>
    <w:p w:rsidR="003E0ACE" w:rsidRDefault="006D7EB0">
      <w:pPr>
        <w:pStyle w:val="BodyText"/>
        <w:rPr>
          <w:iCs/>
        </w:rPr>
      </w:pPr>
      <w:r>
        <w:rPr>
          <w:iCs/>
        </w:rPr>
        <w:t xml:space="preserve">Čeprav sta si mikenska in kretska kultura različni, vendar mikenska izhaja iz kretske. V nasprotju z Krečani so bili Mikenci bojeviti, o čemer nam pričajo bojni prizori na stenah in utrjena mesta. </w:t>
      </w:r>
    </w:p>
    <w:p w:rsidR="003E0ACE" w:rsidRDefault="006D7EB0">
      <w:pPr>
        <w:pStyle w:val="BodyText"/>
        <w:rPr>
          <w:iCs/>
        </w:rPr>
      </w:pPr>
      <w:r>
        <w:rPr>
          <w:iCs/>
        </w:rPr>
        <w:t xml:space="preserve">Mikenski dvorci so bili skromnejši, glavi dogodki so se odvijali v glavnem prostoru, imenovanem megaron, kjer je bil strop na sredini odprt zaradi ognjišča. Za gradnjo so značilne kiklopske skale v mestnih obzidjih. </w:t>
      </w:r>
    </w:p>
    <w:p w:rsidR="003E0ACE" w:rsidRDefault="006D7EB0">
      <w:pPr>
        <w:pStyle w:val="BodyText"/>
        <w:rPr>
          <w:iCs/>
        </w:rPr>
      </w:pPr>
      <w:r>
        <w:rPr>
          <w:iCs/>
        </w:rPr>
        <w:t>LONČEVINA</w:t>
      </w:r>
    </w:p>
    <w:p w:rsidR="003E0ACE" w:rsidRDefault="006D7EB0">
      <w:pPr>
        <w:pStyle w:val="BodyText"/>
        <w:rPr>
          <w:iCs/>
        </w:rPr>
      </w:pPr>
      <w:r>
        <w:rPr>
          <w:iCs/>
        </w:rPr>
        <w:t xml:space="preserve">Lončevina je najbolj zgovorno pričevanje vzpona kretske kulture. Ločimo tri stopnje upodabljanja: </w:t>
      </w:r>
    </w:p>
    <w:p w:rsidR="003E0ACE" w:rsidRDefault="006D7EB0">
      <w:pPr>
        <w:pStyle w:val="BodyText"/>
        <w:numPr>
          <w:ilvl w:val="0"/>
          <w:numId w:val="2"/>
        </w:numPr>
        <w:tabs>
          <w:tab w:val="left" w:pos="833"/>
        </w:tabs>
        <w:rPr>
          <w:iCs/>
        </w:rPr>
      </w:pPr>
      <w:r>
        <w:rPr>
          <w:iCs/>
        </w:rPr>
        <w:t xml:space="preserve">Kamareška plastika, za katero je značilno rastlinsko okrasje in geometrične, domišljijske oblike, uporabljene živahne barve ne temnem ozadju. </w:t>
      </w:r>
    </w:p>
    <w:p w:rsidR="003E0ACE" w:rsidRDefault="006D7EB0">
      <w:pPr>
        <w:pStyle w:val="BodyText"/>
        <w:numPr>
          <w:ilvl w:val="0"/>
          <w:numId w:val="2"/>
        </w:numPr>
        <w:tabs>
          <w:tab w:val="left" w:pos="833"/>
        </w:tabs>
        <w:rPr>
          <w:iCs/>
        </w:rPr>
      </w:pPr>
      <w:r>
        <w:rPr>
          <w:iCs/>
        </w:rPr>
        <w:t xml:space="preserve">Novi slog, ustvarjen po naravnih zgledih, značilna je svežina in svoboda gibanja, ki je bila do takrat nepoznana, čisto nasprotje mezopotamski, egipčanski in antični umetnosti. </w:t>
      </w:r>
    </w:p>
    <w:p w:rsidR="003E0ACE" w:rsidRDefault="006D7EB0">
      <w:pPr>
        <w:pStyle w:val="BodyText"/>
        <w:numPr>
          <w:ilvl w:val="0"/>
          <w:numId w:val="2"/>
        </w:numPr>
        <w:tabs>
          <w:tab w:val="left" w:pos="833"/>
        </w:tabs>
        <w:rPr>
          <w:iCs/>
        </w:rPr>
      </w:pPr>
      <w:r>
        <w:rPr>
          <w:iCs/>
        </w:rPr>
        <w:t xml:space="preserve">Dvorni slog, ki je bolj geometričen in stiliziran.  </w:t>
      </w:r>
    </w:p>
    <w:p w:rsidR="003E0ACE" w:rsidRDefault="006D7EB0">
      <w:pPr>
        <w:pStyle w:val="BodyText"/>
        <w:rPr>
          <w:iCs/>
        </w:rPr>
      </w:pPr>
      <w:r>
        <w:rPr>
          <w:iCs/>
        </w:rPr>
        <w:t>SLIKARSTVO</w:t>
      </w:r>
    </w:p>
    <w:p w:rsidR="003E0ACE" w:rsidRDefault="006D7EB0">
      <w:pPr>
        <w:pStyle w:val="BodyText"/>
        <w:rPr>
          <w:iCs/>
        </w:rPr>
      </w:pPr>
      <w:r>
        <w:rPr>
          <w:iCs/>
        </w:rPr>
        <w:t xml:space="preserve">Ohranjena ni nobena slikarija, zato slikarstvo ni izrazito. </w:t>
      </w:r>
    </w:p>
    <w:sectPr w:rsidR="003E0ACE">
      <w:footnotePr>
        <w:pos w:val="beneathText"/>
      </w:footnotePr>
      <w:pgSz w:w="11905" w:h="16837"/>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4"/>
    <w:lvl w:ilvl="0">
      <w:start w:val="1"/>
      <w:numFmt w:val="bullet"/>
      <w:lvlText w:val=""/>
      <w:lvlJc w:val="left"/>
      <w:pPr>
        <w:tabs>
          <w:tab w:val="num" w:pos="833"/>
        </w:tabs>
        <w:ind w:left="833" w:firstLine="57"/>
      </w:pPr>
      <w:rPr>
        <w:rFonts w:ascii="Symbol" w:hAnsi="Symbol"/>
        <w:color w:val="auto"/>
      </w:rPr>
    </w:lvl>
  </w:abstractNum>
  <w:abstractNum w:abstractNumId="1" w15:restartNumberingAfterBreak="0">
    <w:nsid w:val="00000002"/>
    <w:multiLevelType w:val="singleLevel"/>
    <w:tmpl w:val="00000002"/>
    <w:name w:val="WW8Num8"/>
    <w:lvl w:ilvl="0">
      <w:start w:val="1"/>
      <w:numFmt w:val="bullet"/>
      <w:lvlText w:val=""/>
      <w:lvlJc w:val="left"/>
      <w:pPr>
        <w:tabs>
          <w:tab w:val="num" w:pos="833"/>
        </w:tabs>
        <w:ind w:left="833" w:firstLine="57"/>
      </w:pPr>
      <w:rPr>
        <w:rFonts w:ascii="Symbol" w:hAnsi="Symbol"/>
        <w:color w:val="auto"/>
      </w:rPr>
    </w:lvl>
  </w:abstractNum>
  <w:abstractNum w:abstractNumId="2" w15:restartNumberingAfterBreak="0">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D7EB0"/>
    <w:rsid w:val="003E0ACE"/>
    <w:rsid w:val="006D7EB0"/>
    <w:rsid w:val="00A128C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ascii="Arial" w:eastAsia="Lucida Sans Unicode" w:hAnsi="Ari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4z0">
    <w:name w:val="WW8Num4z0"/>
    <w:rPr>
      <w:rFonts w:ascii="Symbol" w:hAnsi="Symbol"/>
      <w:color w:val="auto"/>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8z0">
    <w:name w:val="WW8Num8z0"/>
    <w:rPr>
      <w:rFonts w:ascii="Symbol" w:hAnsi="Symbol"/>
      <w:color w:val="auto"/>
    </w:rPr>
  </w:style>
  <w:style w:type="character" w:customStyle="1" w:styleId="WW8Num8z1">
    <w:name w:val="WW8Num8z1"/>
    <w:rPr>
      <w:rFonts w:ascii="Courier New" w:hAnsi="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paragraph" w:customStyle="1" w:styleId="Heading">
    <w:name w:val="Heading"/>
    <w:basedOn w:val="Normal"/>
    <w:next w:val="BodyText"/>
    <w:pPr>
      <w:keepNext/>
      <w:spacing w:before="240" w:after="120"/>
    </w:pPr>
    <w:rPr>
      <w:rFonts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320</Words>
  <Characters>1825</Characters>
  <Application>Microsoft Office Word</Application>
  <DocSecurity>0</DocSecurity>
  <Lines>15</Lines>
  <Paragraphs>4</Paragraphs>
  <ScaleCrop>false</ScaleCrop>
  <Company/>
  <LinksUpToDate>false</LinksUpToDate>
  <CharactersWithSpaces>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2019-05-17T07:31:00Z</dcterms:created>
  <dcterms:modified xsi:type="dcterms:W3CDTF">2019-05-17T07:31:00Z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