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07" w:rsidRDefault="00CD2138">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76.35pt;height:83.7pt" fillcolor="#3cf" strokecolor="#009" strokeweight="1pt">
            <v:shadow on="t" color="#009" offset="7pt,-7pt"/>
            <v:textpath style="font-family:&quot;Comic Sans MS&quot;;font-weight:bold;v-text-spacing:52429f;v-text-kern:t" trim="t" fitpath="t" xscale="f" string="Geodetska uprava"/>
          </v:shape>
        </w:pict>
      </w:r>
    </w:p>
    <w:p w:rsidR="00477D6E" w:rsidRDefault="00D97007" w:rsidP="00D97007">
      <w:pPr>
        <w:jc w:val="both"/>
      </w:pPr>
      <w:r>
        <w:t>Geodetska uprava spada pod ministrstvo za okolje in prostor.</w:t>
      </w:r>
    </w:p>
    <w:p w:rsidR="00D97007" w:rsidRDefault="00D97007" w:rsidP="00D97007">
      <w:pPr>
        <w:jc w:val="both"/>
      </w:pPr>
    </w:p>
    <w:p w:rsidR="00D97007" w:rsidRPr="00D97007" w:rsidRDefault="00D97007" w:rsidP="00D97007">
      <w:pPr>
        <w:jc w:val="both"/>
        <w:rPr>
          <w:b/>
          <w:sz w:val="20"/>
          <w:szCs w:val="20"/>
        </w:rPr>
      </w:pPr>
      <w:r w:rsidRPr="00D97007">
        <w:rPr>
          <w:b/>
          <w:sz w:val="20"/>
          <w:szCs w:val="20"/>
        </w:rPr>
        <w:t>NALOGE IN CILJI</w:t>
      </w:r>
    </w:p>
    <w:p w:rsidR="00D97007" w:rsidRPr="00D97007" w:rsidRDefault="00D97007" w:rsidP="00D97007">
      <w:pPr>
        <w:jc w:val="both"/>
        <w:rPr>
          <w:sz w:val="20"/>
          <w:szCs w:val="20"/>
          <w:u w:val="single"/>
        </w:rPr>
      </w:pPr>
      <w:r w:rsidRPr="00D97007">
        <w:rPr>
          <w:sz w:val="20"/>
          <w:szCs w:val="20"/>
          <w:u w:val="single"/>
        </w:rPr>
        <w:t>Glavni urad</w:t>
      </w:r>
    </w:p>
    <w:p w:rsidR="00D97007" w:rsidRPr="00D97007" w:rsidRDefault="00D97007" w:rsidP="00D97007">
      <w:pPr>
        <w:jc w:val="both"/>
        <w:rPr>
          <w:color w:val="323232"/>
          <w:sz w:val="20"/>
          <w:szCs w:val="20"/>
        </w:rPr>
      </w:pPr>
      <w:r w:rsidRPr="00D97007">
        <w:rPr>
          <w:color w:val="323232"/>
          <w:sz w:val="20"/>
          <w:szCs w:val="20"/>
        </w:rPr>
        <w:t>Glavni urad opravlja upravne, strokovne, tehnične in nadzorstvene naloge v zvezi s povezovanjem baz prostorskih podatkov, izdajo podatkov in potrdil v analogni in digitalni obliki, elektronskim poslovanjem s prostorskimi podatki, prostorsko podatkovno infrastrukturo, informatizacijo geodetske službe, upravljanja z informacijsko in telekomunikacijsko infrastrukturo, zagotavljanja sistemske, aplikativne in uporabniške podpore in izobraževanjem na področju informatike. Prav tako opravlja naloge, ki se nanašajo na zagotavljanje pomoči pri reševanju vsebinsko-pravnih zadev vseh uradov in Območnih geodetskih uprav, finančno poslovanje, področje javnih naročil, kadrovske zadeve, izobraževanje, pisarniško poslovanje, varnost in zdravje pri delu, ter druge naloge organizacijskega značaja, ki so pomembne za delovanje Geodetske uprave Republike Slovenije.</w:t>
      </w:r>
    </w:p>
    <w:p w:rsidR="00D97007" w:rsidRPr="00D97007" w:rsidRDefault="00D97007" w:rsidP="00D97007">
      <w:pPr>
        <w:jc w:val="both"/>
        <w:rPr>
          <w:color w:val="323232"/>
          <w:sz w:val="20"/>
          <w:szCs w:val="20"/>
        </w:rPr>
      </w:pPr>
    </w:p>
    <w:p w:rsidR="00D97007" w:rsidRPr="00D97007" w:rsidRDefault="00D97007" w:rsidP="00D97007">
      <w:pPr>
        <w:jc w:val="both"/>
        <w:rPr>
          <w:b/>
          <w:color w:val="323232"/>
          <w:sz w:val="20"/>
          <w:szCs w:val="20"/>
        </w:rPr>
      </w:pPr>
      <w:r w:rsidRPr="00D97007">
        <w:rPr>
          <w:b/>
          <w:color w:val="323232"/>
          <w:sz w:val="20"/>
          <w:szCs w:val="20"/>
        </w:rPr>
        <w:t>Delovna področja</w:t>
      </w:r>
    </w:p>
    <w:p w:rsidR="00D97007" w:rsidRPr="00D97007" w:rsidRDefault="00D97007" w:rsidP="00D97007">
      <w:pPr>
        <w:pStyle w:val="NormalWeb"/>
        <w:jc w:val="both"/>
        <w:rPr>
          <w:rFonts w:ascii="Comic Sans MS" w:hAnsi="Comic Sans MS"/>
          <w:sz w:val="20"/>
          <w:szCs w:val="20"/>
        </w:rPr>
      </w:pPr>
      <w:r w:rsidRPr="00D97007">
        <w:rPr>
          <w:rFonts w:ascii="Comic Sans MS" w:hAnsi="Comic Sans MS"/>
          <w:sz w:val="20"/>
          <w:szCs w:val="20"/>
        </w:rPr>
        <w:t xml:space="preserve">Geodetska služba skrbi za osnovne podatke o prostoru in nepremičninah v urejenih zbirkah podatkov ter zagotavlja storitve povezane z evidentiranjem sprememb v prostoru in na nepremičninah, izvaja koordinacijsko vlogo na področju nepremičninskega sistema in prostorske podatkovne infrastrukture ter v sodelovanju z ministrstvom za finance uvaja množično vrednotenje nepremičnin, z namenom zagotoviti temelje za uspešno in učinkovito upravljanje z nepremičninami ter zagotoviti podatke za objektivno in celovito obdavčenje nepremičnin ter izboljšanje učinkovitost trga z nepremičninami. </w:t>
      </w:r>
    </w:p>
    <w:p w:rsidR="00D97007" w:rsidRPr="00D97007" w:rsidRDefault="00D97007" w:rsidP="00D97007">
      <w:pPr>
        <w:pStyle w:val="NormalWeb"/>
        <w:jc w:val="both"/>
        <w:rPr>
          <w:rFonts w:ascii="Comic Sans MS" w:hAnsi="Comic Sans MS"/>
          <w:sz w:val="20"/>
          <w:szCs w:val="20"/>
        </w:rPr>
      </w:pPr>
      <w:r w:rsidRPr="00D97007">
        <w:rPr>
          <w:rFonts w:ascii="Comic Sans MS" w:hAnsi="Comic Sans MS"/>
          <w:sz w:val="20"/>
          <w:szCs w:val="20"/>
        </w:rPr>
        <w:t> </w:t>
      </w:r>
    </w:p>
    <w:p w:rsidR="00D97007" w:rsidRPr="00D97007" w:rsidRDefault="00D97007" w:rsidP="00D97007">
      <w:pPr>
        <w:pStyle w:val="NormalWeb"/>
        <w:jc w:val="both"/>
        <w:rPr>
          <w:rFonts w:ascii="Comic Sans MS" w:hAnsi="Comic Sans MS"/>
          <w:sz w:val="20"/>
          <w:szCs w:val="20"/>
        </w:rPr>
      </w:pPr>
      <w:r w:rsidRPr="00D97007">
        <w:rPr>
          <w:rFonts w:ascii="Comic Sans MS" w:hAnsi="Comic Sans MS"/>
          <w:sz w:val="20"/>
          <w:szCs w:val="20"/>
        </w:rPr>
        <w:t xml:space="preserve">Zagotavlja pogoje za izvajanje geodetskih meritev in za skladnost državnega koordinatnega sistema z evropskim koordinatnim sistemom. Strateški cilji podpirajo razvoj nepremičninskega sistema in razvoj topografskega sistema z namenom podpore izvajanju politike urejanja prostora in okolja ter kmetijske in zemljiške politike na podlagi nepremičninskih in prostorskih podatkov oziroma na teh podatkih temelječih kazalcih. </w:t>
      </w:r>
    </w:p>
    <w:p w:rsidR="00D97007" w:rsidRPr="00D97007" w:rsidRDefault="00D97007" w:rsidP="00D97007">
      <w:pPr>
        <w:pStyle w:val="NormalWeb"/>
        <w:jc w:val="both"/>
        <w:rPr>
          <w:rFonts w:ascii="Comic Sans MS" w:hAnsi="Comic Sans MS"/>
          <w:sz w:val="20"/>
          <w:szCs w:val="20"/>
        </w:rPr>
      </w:pPr>
      <w:r w:rsidRPr="00D97007">
        <w:rPr>
          <w:rFonts w:ascii="Comic Sans MS" w:hAnsi="Comic Sans MS"/>
          <w:sz w:val="20"/>
          <w:szCs w:val="20"/>
        </w:rPr>
        <w:t> </w:t>
      </w:r>
    </w:p>
    <w:p w:rsidR="00D97007" w:rsidRPr="00D97007" w:rsidRDefault="00D97007" w:rsidP="00D97007">
      <w:pPr>
        <w:pStyle w:val="NormalWeb"/>
        <w:jc w:val="both"/>
        <w:rPr>
          <w:rFonts w:ascii="Comic Sans MS" w:hAnsi="Comic Sans MS"/>
          <w:sz w:val="20"/>
          <w:szCs w:val="20"/>
        </w:rPr>
      </w:pPr>
      <w:r w:rsidRPr="00D97007">
        <w:rPr>
          <w:rFonts w:ascii="Comic Sans MS" w:hAnsi="Comic Sans MS"/>
          <w:sz w:val="20"/>
          <w:szCs w:val="20"/>
        </w:rPr>
        <w:t>Razvoj osnovnega geodetskega sistema z namenom razvoja sodobnih metod geodetske izmere, zajemanja podatkov in uvajanja novih storitev, temelječih na satelitski tehnologiji pri določanju položaja (lokacijske storitve) je prav tako eden izmed strateških ciljev geodetske službe.</w:t>
      </w:r>
    </w:p>
    <w:p w:rsidR="00D97007" w:rsidRPr="00D97007" w:rsidRDefault="00D97007" w:rsidP="00D97007">
      <w:pPr>
        <w:rPr>
          <w:rFonts w:ascii="Verdana" w:hAnsi="Verdana"/>
          <w:color w:val="323232"/>
          <w:sz w:val="17"/>
          <w:szCs w:val="17"/>
        </w:rPr>
      </w:pPr>
    </w:p>
    <w:sectPr w:rsidR="00D97007" w:rsidRPr="00D9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21C88"/>
    <w:multiLevelType w:val="hybridMultilevel"/>
    <w:tmpl w:val="4456FF92"/>
    <w:lvl w:ilvl="0" w:tplc="43DCD2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092"/>
    <w:rsid w:val="00477D6E"/>
    <w:rsid w:val="007E17CD"/>
    <w:rsid w:val="00CD2138"/>
    <w:rsid w:val="00D97007"/>
    <w:rsid w:val="00E52092"/>
    <w:rsid w:val="00FE4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7007"/>
    <w:rPr>
      <w:rFonts w:ascii="Verdana" w:hAnsi="Verdana"/>
      <w:color w:val="32323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