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77E7" w:rsidRDefault="006C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</w:rPr>
        <w:t>Upravni postopek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Upravni organ pri odločanju spoštuje pravila splošnega upravnega postopka. Postopek se začne na pobudo:</w:t>
      </w:r>
    </w:p>
    <w:p w:rsidR="00C977E7" w:rsidRDefault="006C50F6">
      <w:pPr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stranke ali</w:t>
      </w:r>
    </w:p>
    <w:p w:rsidR="00C977E7" w:rsidRDefault="006C50F6">
      <w:pPr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 uradni dolžnosti.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Upravni organ ugotavlja dejstva, ki so pomembna za odločitev ter na to izda upravno odločbo. Zoper odločbo je mogoče sprožiti sodno varstvo (to je upravni spor).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Sodišče sprejema svoje odločitve po sodnih postopkih, ki omogočajo popolno ugotavljanje dejstev in zakonito odločanje.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Uprava v najširšem pomenu besede pomeni urejanje življenja v različnih skupnostih.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 ožjem pomenu pa označuje organ v neki skupnosti. Ti organi opravljajo pomožno dejavnost v teh skupnostih. </w:t>
      </w:r>
      <w:r>
        <w:rPr>
          <w:rFonts w:ascii="Comic Sans MS" w:hAnsi="Comic Sans MS" w:cs="Comic Sans MS"/>
          <w:b/>
        </w:rPr>
        <w:t>Javna uprava</w:t>
      </w:r>
      <w:r>
        <w:rPr>
          <w:rFonts w:ascii="Comic Sans MS" w:hAnsi="Comic Sans MS" w:cs="Comic Sans MS"/>
        </w:rPr>
        <w:t xml:space="preserve"> je pojem za celotno upravno dejavnost, torej za dejavnost državne uprave in javnih služb.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Javna uprava je pojem za celotno javno dejavnost, torej dejavnost klasične državne uprave in dejavnost javnih služb.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Za državno upravo je značilna oblastna komponenta, saj lahko organi državne uprave pri svojem ukrepanju uporabljajo tudi prisilna sredstva (seveda v skladu z ustavo in zakoni).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Stroški upravnega postopka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Stroški upravnega postopka so stroški, ki nastanejo organu ali stranki zaradi postopka ali med postopkom. Mednje prištevamo na primer potne stroške, stroške za oglase, oglede, tolmače, izgubo dohodka in podobno. 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  <w:b/>
          <w:color w:val="000000"/>
          <w:u w:val="single"/>
        </w:rPr>
      </w:pPr>
      <w:r>
        <w:rPr>
          <w:rFonts w:ascii="Comic Sans MS" w:hAnsi="Comic Sans MS" w:cs="Comic Sans MS"/>
        </w:rPr>
        <w:t>V upravnem postopku ločimo splošne in posebne stroške.</w:t>
      </w:r>
    </w:p>
    <w:p w:rsidR="00C977E7" w:rsidRDefault="006C50F6">
      <w:pPr>
        <w:jc w:val="both"/>
        <w:rPr>
          <w:rFonts w:ascii="Comic Sans MS" w:hAnsi="Comic Sans MS" w:cs="Comic Sans MS"/>
          <w:b/>
          <w:color w:val="000000"/>
          <w:u w:val="single"/>
        </w:rPr>
      </w:pPr>
      <w:r>
        <w:rPr>
          <w:rFonts w:ascii="Comic Sans MS" w:hAnsi="Comic Sans MS" w:cs="Comic Sans MS"/>
          <w:b/>
          <w:color w:val="000000"/>
          <w:u w:val="single"/>
        </w:rPr>
        <w:t>Splošni stroški</w:t>
      </w:r>
      <w:r>
        <w:rPr>
          <w:rFonts w:ascii="Comic Sans MS" w:hAnsi="Comic Sans MS" w:cs="Comic Sans MS"/>
        </w:rPr>
        <w:t xml:space="preserve"> so izdatki organa za njegovo redno delo (plače, materialni stroški). Plačajo se iz državnega proračuna.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color w:val="000000"/>
          <w:u w:val="single"/>
        </w:rPr>
        <w:t>Posebni stroški</w:t>
      </w:r>
      <w:r>
        <w:rPr>
          <w:rFonts w:ascii="Comic Sans MS" w:hAnsi="Comic Sans MS" w:cs="Comic Sans MS"/>
        </w:rPr>
        <w:t xml:space="preserve"> -&gt; vedno gredo v breme tistega na čigar zahtevo se je postopek začel. Nastajajo zaradi vodenja upravnega postopka. To so izdatki za potne stroške za uradne osebe, izdatki za priče, izvedence, tolmače, pravno pomoč.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Upravne takse</w:t>
      </w:r>
    </w:p>
    <w:p w:rsidR="00C977E7" w:rsidRDefault="006C50F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Taksa je pristojbina za uradno opravilo. Upravne takse se plačuje za spise in dejanja v upravnih in drugih javnopravnih stvareh pri upravnih organih. Takse se plačujejo samo za tiste spise in dejanja, ki jih določa taksna tarifa zakona o upravnih taksah.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Sodišča</w:t>
      </w:r>
    </w:p>
    <w:p w:rsidR="00C977E7" w:rsidRDefault="006C50F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Vrste in pristojnosti sodišč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Sodstvo je samostojna veja oblasti. Sodišča pravno varujejo pravice in svoboščine ter odločajo o konkretnih pravnih razmerjih.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Sodišča morajo pri delovanju upoštevati temeljna načela: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(neodvisnost, ustavnost, zakonitost, javnost, demokratičnost, tajnost).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Prepovedano je ustanavljanje izrednih sodišč (imajo poenostavljene postopke, stroge kazni, ni pritožbe)</w:t>
      </w:r>
    </w:p>
    <w:p w:rsidR="00C977E7" w:rsidRDefault="006C50F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 mirnem času ni vojaških sodišč.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Vrste sodišč:</w:t>
      </w:r>
    </w:p>
    <w:p w:rsidR="00C977E7" w:rsidRDefault="006C50F6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OKRAJNA SODIŠČA</w:t>
      </w:r>
      <w:r>
        <w:rPr>
          <w:rFonts w:ascii="Comic Sans MS" w:hAnsi="Comic Sans MS" w:cs="Comic Sans MS"/>
        </w:rPr>
        <w:t xml:space="preserve"> (kazenska in civilne zadeve) 44</w:t>
      </w:r>
    </w:p>
    <w:p w:rsidR="00C977E7" w:rsidRDefault="00C977E7">
      <w:pPr>
        <w:ind w:left="360"/>
        <w:jc w:val="both"/>
        <w:rPr>
          <w:rFonts w:ascii="Comic Sans MS" w:hAnsi="Comic Sans MS" w:cs="Comic Sans MS"/>
        </w:rPr>
      </w:pPr>
    </w:p>
    <w:p w:rsidR="00C977E7" w:rsidRDefault="006C50F6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OKROŽNA SODIŠČA</w:t>
      </w:r>
      <w:r>
        <w:rPr>
          <w:rFonts w:ascii="Comic Sans MS" w:hAnsi="Comic Sans MS" w:cs="Comic Sans MS"/>
        </w:rPr>
        <w:t xml:space="preserve"> (težja kazniva dejanja) 11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VIŠJA SODIŠČA – PRITOŽBENA</w:t>
      </w:r>
      <w:r>
        <w:rPr>
          <w:rFonts w:ascii="Comic Sans MS" w:hAnsi="Comic Sans MS" w:cs="Comic Sans MS"/>
        </w:rPr>
        <w:t xml:space="preserve"> (rešujejo pritožbe zoper sode okrajnih in okrožnih sodišč)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VRHOVNO SODIŠČE RS</w:t>
      </w:r>
      <w:r>
        <w:rPr>
          <w:rFonts w:ascii="Comic Sans MS" w:hAnsi="Comic Sans MS" w:cs="Comic Sans MS"/>
        </w:rPr>
        <w:t xml:space="preserve"> (odloča na 3. stopnji zoper odločbe višjih sodišč)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numPr>
          <w:ilvl w:val="0"/>
          <w:numId w:val="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SPECIALIZIRANA SODIŠČA</w:t>
      </w:r>
      <w:r>
        <w:rPr>
          <w:rFonts w:ascii="Comic Sans MS" w:hAnsi="Comic Sans MS" w:cs="Comic Sans MS"/>
        </w:rPr>
        <w:t xml:space="preserve"> – delovna in socialna (odloča o delovnih sporih in sporih s področja socialne varnosti)</w:t>
      </w:r>
    </w:p>
    <w:p w:rsidR="00C977E7" w:rsidRDefault="00C977E7">
      <w:pPr>
        <w:jc w:val="both"/>
        <w:rPr>
          <w:rFonts w:ascii="Comic Sans MS" w:hAnsi="Comic Sans MS" w:cs="Comic Sans MS"/>
        </w:rPr>
      </w:pPr>
    </w:p>
    <w:p w:rsidR="00C977E7" w:rsidRDefault="006C50F6">
      <w:pPr>
        <w:numPr>
          <w:ilvl w:val="0"/>
          <w:numId w:val="1"/>
        </w:numPr>
        <w:jc w:val="both"/>
      </w:pPr>
      <w:r>
        <w:rPr>
          <w:rFonts w:ascii="Comic Sans MS" w:hAnsi="Comic Sans MS" w:cs="Comic Sans MS"/>
          <w:b/>
        </w:rPr>
        <w:t>UPRAVNA SODIŠČA</w:t>
      </w:r>
      <w:r>
        <w:rPr>
          <w:rFonts w:ascii="Comic Sans MS" w:hAnsi="Comic Sans MS" w:cs="Comic Sans MS"/>
        </w:rPr>
        <w:t xml:space="preserve"> (odločajo o zakonitosti aktov in delovanju upravnih organov)</w:t>
      </w:r>
    </w:p>
    <w:p w:rsidR="00C977E7" w:rsidRDefault="00C977E7"/>
    <w:p w:rsidR="00C977E7" w:rsidRDefault="006C50F6">
      <w:r>
        <w:rPr>
          <w:rFonts w:ascii="Comic Sans MS" w:hAnsi="Comic Sans MS" w:cs="Comic Sans MS"/>
        </w:rPr>
        <w:t>Sodišče za svoje usluge zaračunava sodne takse.</w:t>
      </w:r>
    </w:p>
    <w:sectPr w:rsidR="00C977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E7" w:rsidRDefault="006C50F6">
      <w:r>
        <w:separator/>
      </w:r>
    </w:p>
  </w:endnote>
  <w:endnote w:type="continuationSeparator" w:id="0">
    <w:p w:rsidR="00C977E7" w:rsidRDefault="006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E7" w:rsidRDefault="00C97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E7" w:rsidRDefault="008A113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C977E7" w:rsidRDefault="006C50F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E7" w:rsidRDefault="00C97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E7" w:rsidRDefault="006C50F6">
      <w:r>
        <w:separator/>
      </w:r>
    </w:p>
  </w:footnote>
  <w:footnote w:type="continuationSeparator" w:id="0">
    <w:p w:rsidR="00C977E7" w:rsidRDefault="006C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E7" w:rsidRDefault="006C50F6">
    <w:pPr>
      <w:pStyle w:val="Header"/>
      <w:pBdr>
        <w:bottom w:val="single" w:sz="4" w:space="1" w:color="000000"/>
      </w:pBdr>
    </w:pPr>
    <w:r>
      <w:rPr>
        <w:rFonts w:ascii="Comic Sans MS" w:hAnsi="Comic Sans MS" w:cs="Comic Sans MS"/>
        <w:sz w:val="16"/>
        <w:szCs w:val="16"/>
      </w:rPr>
      <w:t>Upravno poslovanje</w:t>
    </w:r>
    <w:r>
      <w:rPr>
        <w:rFonts w:ascii="Comic Sans MS" w:hAnsi="Comic Sans MS" w:cs="Comic Sans MS"/>
        <w:sz w:val="16"/>
        <w:szCs w:val="16"/>
      </w:rPr>
      <w:tab/>
    </w:r>
    <w:r>
      <w:rPr>
        <w:rFonts w:ascii="Comic Sans MS" w:hAnsi="Comic Sans MS" w:cs="Comic Sans MS"/>
        <w:sz w:val="16"/>
        <w:szCs w:val="16"/>
      </w:rPr>
      <w:tab/>
      <w:t>5. letnik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E7" w:rsidRDefault="00C97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0F6"/>
    <w:rsid w:val="006C50F6"/>
    <w:rsid w:val="008A1138"/>
    <w:rsid w:val="00C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vadensplet">
    <w:name w:val="Navaden (splet)"/>
    <w:basedOn w:val="Normal"/>
    <w:rPr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