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3591" w:rsidRDefault="00153796">
      <w:pPr>
        <w:pStyle w:val="Heading1"/>
        <w:tabs>
          <w:tab w:val="left" w:pos="0"/>
        </w:tabs>
        <w:rPr>
          <w:rFonts w:ascii="Arial" w:hAnsi="Arial"/>
        </w:rPr>
      </w:pPr>
      <w:bookmarkStart w:id="0" w:name="_GoBack"/>
      <w:bookmarkEnd w:id="0"/>
      <w:r>
        <w:rPr>
          <w:rFonts w:ascii="Arial" w:hAnsi="Arial"/>
        </w:rPr>
        <w:t>DUBROVNIK</w:t>
      </w:r>
    </w:p>
    <w:p w:rsidR="00953591" w:rsidRDefault="00953591">
      <w:pPr>
        <w:rPr>
          <w:lang w:val="sl-SI"/>
        </w:rPr>
      </w:pPr>
    </w:p>
    <w:p w:rsidR="00953591" w:rsidRDefault="00153796">
      <w:pPr>
        <w:ind w:firstLine="360"/>
        <w:jc w:val="both"/>
        <w:rPr>
          <w:lang w:val="sl-SI"/>
        </w:rPr>
      </w:pPr>
      <w:r>
        <w:rPr>
          <w:lang w:val="sl-SI"/>
        </w:rPr>
        <w:t>Dubrovnik je bil mestna država, ki je bila ozemeljsko majhna, politično in trgovsko pa izredno močna. Bil je eno redkih velikih mest, ki se je ohranilo na obalnem območju med Splitom in Kotorjem. Pod bizantinsko zaščito je postal kriužišče kopnih in pomorskih poti. Že konec 12. st. je sklenil pogodbo o svobodni trgovini s Bosno in Srbijo. Ko  so prišli pod oblast Benečanov, se je močno razvila trgovina z zaledjem na morju pa so jih ovirale Benetke. Surovine iz zaledja (srebro, svinec, živinorejske izdelke in les) so zamenjevali za sol, obrtne in tekstilne izdelke, luksuzne proizvode in začimbe. Zaradi svoje ga položaja in povezav na Balkanu, je postal Dubrovnik glavna trgovska postojanka balkanske kopenske trgovine. Imenovali so ga balkanska vrata.</w:t>
      </w:r>
    </w:p>
    <w:p w:rsidR="00953591" w:rsidRDefault="00153796">
      <w:pPr>
        <w:ind w:firstLine="360"/>
        <w:jc w:val="both"/>
        <w:rPr>
          <w:lang w:val="sl-SI"/>
        </w:rPr>
      </w:pPr>
      <w:r>
        <w:rPr>
          <w:lang w:val="sl-SI"/>
        </w:rPr>
        <w:t xml:space="preserve">Leta 1358 je dubrovnik prišel pod ogrsko zaščito, postal pa je tudi suverena država. Tako je postalo pomembno tudi pomorstvo, kjer so Dubrovčani tekmovali z Benetkami. V 15. st. pa dubrovniška trgovina ni bila več samo posredniška. Pomebni panogi sta postali tudi ladjadelništvo in manofaktura sukna. V Dubrovniku je bila zgrajena tudi prva manofaktura na južnoslovanskih tleh. Pomembno je postalo tudi bančništvo in razni finančni posli. </w:t>
      </w:r>
    </w:p>
    <w:p w:rsidR="00953591" w:rsidRDefault="00153796">
      <w:pPr>
        <w:ind w:firstLine="360"/>
        <w:jc w:val="both"/>
        <w:rPr>
          <w:lang w:val="sl-SI"/>
        </w:rPr>
      </w:pPr>
      <w:r>
        <w:rPr>
          <w:lang w:val="sl-SI"/>
        </w:rPr>
        <w:t>Ko je Balkan prišel pod oblast Turkov, je Dubrovnik z njimi ohranil dobre odnose. Dobili so pravico do svobodne trgovine, vendar so morali plačevati letni davek (harač – 12500 dukatov). Pod Turki se je na Balkanu razvil enoten in varen trg, tako da je Dubrovnik postal posrednik med Osmanskim cesarstvom in italjanskimi mesti. V začetku 16. st</w:t>
      </w:r>
      <w:r>
        <w:t>. je Dubrovnik ohranil dobre odnose s Španijo in Turki, tako da je lahko trgoval z obema. 1667 ga je prizadel rušilni potres, od katerega si mesto nikoli ni opomoglo in je pomenil zaton Dubrovnika.</w:t>
      </w:r>
      <w:r w:rsidR="005918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101.2pt;width:509.95pt;height:323.95pt;z-index:251657728;mso-wrap-distance-left:9.05pt;mso-wrap-distance-right:9.05pt;mso-position-horizontal:absolute;mso-position-horizontal-relative:text;mso-position-vertical:absolute;mso-position-vertical-relative:text" filled="t">
            <v:fill color2="black"/>
            <v:imagedata r:id="rId5" o:title=""/>
            <w10:wrap type="square"/>
          </v:shape>
        </w:pict>
      </w:r>
    </w:p>
    <w:sectPr w:rsidR="00953591">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aettenschweiler">
    <w:altName w:val="Impact"/>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796"/>
    <w:rsid w:val="00153796"/>
    <w:rsid w:val="00591892"/>
    <w:rsid w:val="009535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paragraph" w:styleId="Heading1">
    <w:name w:val="heading 1"/>
    <w:basedOn w:val="Normal"/>
    <w:next w:val="Normal"/>
    <w:qFormat/>
    <w:pPr>
      <w:keepNext/>
      <w:numPr>
        <w:numId w:val="1"/>
      </w:numPr>
      <w:jc w:val="center"/>
      <w:outlineLvl w:val="0"/>
    </w:pPr>
    <w:rPr>
      <w:rFonts w:ascii="Haettenschweiler" w:hAnsi="Haettenschweiler"/>
      <w:shadow/>
      <w:sz w:val="8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2019-05-17T07:34:00Z</dcterms:created>
  <dcterms:modified xsi:type="dcterms:W3CDTF">2019-05-17T07:34:00Z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