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46" w:rsidRPr="00FA6B5A" w:rsidRDefault="00394F46" w:rsidP="00394F46">
      <w:pPr>
        <w:pStyle w:val="Title"/>
        <w:rPr>
          <w:rFonts w:ascii="Calibri" w:hAnsi="Calibri"/>
        </w:rPr>
      </w:pPr>
      <w:bookmarkStart w:id="0" w:name="_GoBack"/>
      <w:bookmarkEnd w:id="0"/>
    </w:p>
    <w:p w:rsidR="00394F46" w:rsidRDefault="00394F46" w:rsidP="00394F46">
      <w:pPr>
        <w:pStyle w:val="Title"/>
      </w:pPr>
    </w:p>
    <w:p w:rsidR="00394F46" w:rsidRDefault="00394F46" w:rsidP="00394F46">
      <w:pPr>
        <w:pStyle w:val="Title"/>
      </w:pPr>
    </w:p>
    <w:p w:rsidR="00394F46" w:rsidRDefault="00394F46" w:rsidP="00394F46">
      <w:pPr>
        <w:pStyle w:val="Title"/>
      </w:pPr>
    </w:p>
    <w:p w:rsidR="00394F46" w:rsidRDefault="00394F46" w:rsidP="00394F46">
      <w:pPr>
        <w:pStyle w:val="Title"/>
      </w:pPr>
    </w:p>
    <w:p w:rsidR="00224DC9" w:rsidRDefault="00394F46" w:rsidP="00394F46">
      <w:pPr>
        <w:pStyle w:val="Title"/>
        <w:rPr>
          <w:b/>
        </w:rPr>
      </w:pPr>
      <w:r w:rsidRPr="00394F46">
        <w:rPr>
          <w:b/>
        </w:rPr>
        <w:t>VELIKA GOSPODARSKA KRIZA 1929</w:t>
      </w:r>
    </w:p>
    <w:p w:rsidR="00394F46" w:rsidRDefault="00394F46" w:rsidP="00394F46"/>
    <w:p w:rsidR="00394F46" w:rsidRDefault="00394F46" w:rsidP="00394F46"/>
    <w:p w:rsidR="00394F46" w:rsidRDefault="008F3094" w:rsidP="00293D53">
      <w:pPr>
        <w:jc w:val="center"/>
      </w:pPr>
      <w:r>
        <w:pict>
          <v:shape id="_x0000_i1027" type="#_x0000_t75" style="width:307.5pt;height:213.75pt">
            <v:imagedata r:id="rId8" o:title="1929"/>
          </v:shape>
        </w:pict>
      </w:r>
    </w:p>
    <w:p w:rsidR="00394F46" w:rsidRDefault="00394F46" w:rsidP="00394F46"/>
    <w:p w:rsidR="00394F46" w:rsidRDefault="00394F46" w:rsidP="00394F46"/>
    <w:p w:rsidR="00394F46" w:rsidRDefault="00394F46" w:rsidP="00394F46"/>
    <w:p w:rsidR="00394F46" w:rsidRDefault="00394F46" w:rsidP="00394F46"/>
    <w:p w:rsidR="00394F46" w:rsidRDefault="00394F46" w:rsidP="00394F46"/>
    <w:p w:rsidR="00394F46" w:rsidRDefault="00394F46" w:rsidP="00394F46"/>
    <w:p w:rsidR="00394F46" w:rsidRDefault="00043181" w:rsidP="00394F46">
      <w:r>
        <w:t xml:space="preserve"> </w:t>
      </w:r>
    </w:p>
    <w:p w:rsidR="00DF63E8" w:rsidRPr="00DF63E8" w:rsidRDefault="00DF63E8">
      <w:pPr>
        <w:pStyle w:val="TOCHeading"/>
        <w:rPr>
          <w:color w:val="auto"/>
        </w:rPr>
      </w:pPr>
      <w:r w:rsidRPr="00DF63E8">
        <w:rPr>
          <w:color w:val="auto"/>
        </w:rPr>
        <w:lastRenderedPageBreak/>
        <w:t>KAZALO</w:t>
      </w:r>
    </w:p>
    <w:p w:rsidR="00DF63E8" w:rsidRPr="00DF63E8" w:rsidRDefault="00DF63E8">
      <w:pPr>
        <w:pStyle w:val="TOC2"/>
        <w:tabs>
          <w:tab w:val="right" w:leader="dot" w:pos="9350"/>
        </w:tabs>
        <w:rPr>
          <w:rFonts w:ascii="Calibri" w:eastAsia="Times New Roman" w:hAnsi="Calibri"/>
          <w:smallCaps w:val="0"/>
          <w:sz w:val="24"/>
          <w:szCs w:val="24"/>
          <w:lang w:val="en-US"/>
        </w:rPr>
      </w:pPr>
      <w:r>
        <w:fldChar w:fldCharType="begin"/>
      </w:r>
      <w:r>
        <w:instrText xml:space="preserve"> TOC \o "1-3" \h \z \u </w:instrText>
      </w:r>
      <w:r>
        <w:fldChar w:fldCharType="separate"/>
      </w:r>
      <w:hyperlink w:anchor="_Toc251220617" w:history="1">
        <w:r w:rsidRPr="00DF63E8">
          <w:rPr>
            <w:rStyle w:val="Hyperlink"/>
            <w:rFonts w:ascii="Calibri" w:hAnsi="Calibri"/>
            <w:sz w:val="24"/>
            <w:szCs w:val="24"/>
          </w:rPr>
          <w:t>1.UVOD</w:t>
        </w:r>
        <w:r w:rsidRPr="00DF63E8">
          <w:rPr>
            <w:webHidden/>
            <w:sz w:val="24"/>
            <w:szCs w:val="24"/>
          </w:rPr>
          <w:tab/>
        </w:r>
        <w:r w:rsidRPr="00DF63E8">
          <w:rPr>
            <w:webHidden/>
            <w:sz w:val="24"/>
            <w:szCs w:val="24"/>
          </w:rPr>
          <w:fldChar w:fldCharType="begin"/>
        </w:r>
        <w:r w:rsidRPr="00DF63E8">
          <w:rPr>
            <w:webHidden/>
            <w:sz w:val="24"/>
            <w:szCs w:val="24"/>
          </w:rPr>
          <w:instrText xml:space="preserve"> PAGEREF _Toc251220617 \h </w:instrText>
        </w:r>
        <w:r w:rsidRPr="00DF63E8">
          <w:rPr>
            <w:webHidden/>
            <w:sz w:val="24"/>
            <w:szCs w:val="24"/>
          </w:rPr>
        </w:r>
        <w:r w:rsidRPr="00DF63E8">
          <w:rPr>
            <w:webHidden/>
            <w:sz w:val="24"/>
            <w:szCs w:val="24"/>
          </w:rPr>
          <w:fldChar w:fldCharType="separate"/>
        </w:r>
        <w:r>
          <w:rPr>
            <w:webHidden/>
            <w:sz w:val="24"/>
            <w:szCs w:val="24"/>
          </w:rPr>
          <w:t>3</w:t>
        </w:r>
        <w:r w:rsidRPr="00DF63E8">
          <w:rPr>
            <w:webHidden/>
            <w:sz w:val="24"/>
            <w:szCs w:val="24"/>
          </w:rPr>
          <w:fldChar w:fldCharType="end"/>
        </w:r>
      </w:hyperlink>
    </w:p>
    <w:p w:rsidR="00DF63E8" w:rsidRPr="00DF63E8" w:rsidRDefault="008F3094">
      <w:pPr>
        <w:pStyle w:val="TOC2"/>
        <w:tabs>
          <w:tab w:val="right" w:leader="dot" w:pos="9350"/>
        </w:tabs>
        <w:rPr>
          <w:rFonts w:ascii="Calibri" w:eastAsia="Times New Roman" w:hAnsi="Calibri"/>
          <w:smallCaps w:val="0"/>
          <w:sz w:val="24"/>
          <w:szCs w:val="24"/>
          <w:lang w:val="en-US"/>
        </w:rPr>
      </w:pPr>
      <w:hyperlink w:anchor="_Toc251220618" w:history="1">
        <w:r w:rsidR="00DF63E8" w:rsidRPr="00DF63E8">
          <w:rPr>
            <w:rStyle w:val="Hyperlink"/>
            <w:sz w:val="24"/>
            <w:szCs w:val="24"/>
            <w:lang w:val="en-US"/>
          </w:rPr>
          <w:t>2. BORZNI ZLOM 1929</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_Toc251220618 \h </w:instrText>
        </w:r>
        <w:r w:rsidR="00DF63E8" w:rsidRPr="00DF63E8">
          <w:rPr>
            <w:webHidden/>
            <w:sz w:val="24"/>
            <w:szCs w:val="24"/>
          </w:rPr>
        </w:r>
        <w:r w:rsidR="00DF63E8" w:rsidRPr="00DF63E8">
          <w:rPr>
            <w:webHidden/>
            <w:sz w:val="24"/>
            <w:szCs w:val="24"/>
          </w:rPr>
          <w:fldChar w:fldCharType="separate"/>
        </w:r>
        <w:r w:rsidR="00DF63E8">
          <w:rPr>
            <w:webHidden/>
            <w:sz w:val="24"/>
            <w:szCs w:val="24"/>
          </w:rPr>
          <w:t>4</w:t>
        </w:r>
        <w:r w:rsidR="00DF63E8" w:rsidRPr="00DF63E8">
          <w:rPr>
            <w:webHidden/>
            <w:sz w:val="24"/>
            <w:szCs w:val="24"/>
          </w:rPr>
          <w:fldChar w:fldCharType="end"/>
        </w:r>
      </w:hyperlink>
    </w:p>
    <w:p w:rsidR="00DF63E8" w:rsidRPr="00DF63E8" w:rsidRDefault="008F3094">
      <w:pPr>
        <w:pStyle w:val="TOC2"/>
        <w:tabs>
          <w:tab w:val="right" w:leader="dot" w:pos="9350"/>
        </w:tabs>
        <w:rPr>
          <w:rFonts w:ascii="Calibri" w:eastAsia="Times New Roman" w:hAnsi="Calibri"/>
          <w:smallCaps w:val="0"/>
          <w:sz w:val="24"/>
          <w:szCs w:val="24"/>
          <w:lang w:val="en-US"/>
        </w:rPr>
      </w:pPr>
      <w:hyperlink w:anchor="_Toc251220619" w:history="1">
        <w:r w:rsidR="00DF63E8" w:rsidRPr="00DF63E8">
          <w:rPr>
            <w:rStyle w:val="Hyperlink"/>
            <w:rFonts w:ascii="Calibri" w:hAnsi="Calibri"/>
            <w:sz w:val="24"/>
            <w:szCs w:val="24"/>
          </w:rPr>
          <w:t>3. VZROKI ZA KRIZO</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_Toc251220619 \h </w:instrText>
        </w:r>
        <w:r w:rsidR="00DF63E8" w:rsidRPr="00DF63E8">
          <w:rPr>
            <w:webHidden/>
            <w:sz w:val="24"/>
            <w:szCs w:val="24"/>
          </w:rPr>
        </w:r>
        <w:r w:rsidR="00DF63E8" w:rsidRPr="00DF63E8">
          <w:rPr>
            <w:webHidden/>
            <w:sz w:val="24"/>
            <w:szCs w:val="24"/>
          </w:rPr>
          <w:fldChar w:fldCharType="separate"/>
        </w:r>
        <w:r w:rsidR="00DF63E8">
          <w:rPr>
            <w:webHidden/>
            <w:sz w:val="24"/>
            <w:szCs w:val="24"/>
          </w:rPr>
          <w:t>5</w:t>
        </w:r>
        <w:r w:rsidR="00DF63E8" w:rsidRPr="00DF63E8">
          <w:rPr>
            <w:webHidden/>
            <w:sz w:val="24"/>
            <w:szCs w:val="24"/>
          </w:rPr>
          <w:fldChar w:fldCharType="end"/>
        </w:r>
      </w:hyperlink>
    </w:p>
    <w:p w:rsidR="00DF63E8" w:rsidRPr="00DF63E8" w:rsidRDefault="008F3094">
      <w:pPr>
        <w:pStyle w:val="TOC3"/>
        <w:tabs>
          <w:tab w:val="right" w:leader="dot" w:pos="9350"/>
        </w:tabs>
        <w:rPr>
          <w:rFonts w:ascii="Calibri" w:eastAsia="Times New Roman" w:hAnsi="Calibri"/>
          <w:i w:val="0"/>
          <w:iCs w:val="0"/>
          <w:sz w:val="24"/>
          <w:szCs w:val="24"/>
          <w:lang w:val="en-US"/>
        </w:rPr>
      </w:pPr>
      <w:hyperlink w:anchor="_Toc251220620" w:history="1">
        <w:r w:rsidR="00DF63E8" w:rsidRPr="00DF63E8">
          <w:rPr>
            <w:rStyle w:val="Hyperlink"/>
            <w:sz w:val="24"/>
            <w:szCs w:val="24"/>
          </w:rPr>
          <w:t>3.1.Cenovno nesorazmerje med kmetijskimi izdelki in industrijskimi proizvodi</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_Toc251220620 \h </w:instrText>
        </w:r>
        <w:r w:rsidR="00DF63E8" w:rsidRPr="00DF63E8">
          <w:rPr>
            <w:webHidden/>
            <w:sz w:val="24"/>
            <w:szCs w:val="24"/>
          </w:rPr>
        </w:r>
        <w:r w:rsidR="00DF63E8" w:rsidRPr="00DF63E8">
          <w:rPr>
            <w:webHidden/>
            <w:sz w:val="24"/>
            <w:szCs w:val="24"/>
          </w:rPr>
          <w:fldChar w:fldCharType="separate"/>
        </w:r>
        <w:r w:rsidR="00DF63E8">
          <w:rPr>
            <w:webHidden/>
            <w:sz w:val="24"/>
            <w:szCs w:val="24"/>
          </w:rPr>
          <w:t>5</w:t>
        </w:r>
        <w:r w:rsidR="00DF63E8" w:rsidRPr="00DF63E8">
          <w:rPr>
            <w:webHidden/>
            <w:sz w:val="24"/>
            <w:szCs w:val="24"/>
          </w:rPr>
          <w:fldChar w:fldCharType="end"/>
        </w:r>
      </w:hyperlink>
    </w:p>
    <w:p w:rsidR="00DF63E8" w:rsidRPr="00DF63E8" w:rsidRDefault="008F3094">
      <w:pPr>
        <w:pStyle w:val="TOC3"/>
        <w:tabs>
          <w:tab w:val="right" w:leader="dot" w:pos="9350"/>
        </w:tabs>
        <w:rPr>
          <w:rFonts w:ascii="Calibri" w:eastAsia="Times New Roman" w:hAnsi="Calibri"/>
          <w:i w:val="0"/>
          <w:iCs w:val="0"/>
          <w:sz w:val="24"/>
          <w:szCs w:val="24"/>
          <w:lang w:val="en-US"/>
        </w:rPr>
      </w:pPr>
      <w:hyperlink w:anchor="_Toc251220621" w:history="1">
        <w:r w:rsidR="00DF63E8" w:rsidRPr="00DF63E8">
          <w:rPr>
            <w:rStyle w:val="Hyperlink"/>
            <w:rFonts w:ascii="Calibri" w:hAnsi="Calibri"/>
            <w:sz w:val="24"/>
            <w:szCs w:val="24"/>
          </w:rPr>
          <w:t>3.2. Pretirano najemanje kreditov in neusklajeno kreditiranje</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_Toc251220621 \h </w:instrText>
        </w:r>
        <w:r w:rsidR="00DF63E8" w:rsidRPr="00DF63E8">
          <w:rPr>
            <w:webHidden/>
            <w:sz w:val="24"/>
            <w:szCs w:val="24"/>
          </w:rPr>
        </w:r>
        <w:r w:rsidR="00DF63E8" w:rsidRPr="00DF63E8">
          <w:rPr>
            <w:webHidden/>
            <w:sz w:val="24"/>
            <w:szCs w:val="24"/>
          </w:rPr>
          <w:fldChar w:fldCharType="separate"/>
        </w:r>
        <w:r w:rsidR="00DF63E8">
          <w:rPr>
            <w:webHidden/>
            <w:sz w:val="24"/>
            <w:szCs w:val="24"/>
          </w:rPr>
          <w:t>5</w:t>
        </w:r>
        <w:r w:rsidR="00DF63E8" w:rsidRPr="00DF63E8">
          <w:rPr>
            <w:webHidden/>
            <w:sz w:val="24"/>
            <w:szCs w:val="24"/>
          </w:rPr>
          <w:fldChar w:fldCharType="end"/>
        </w:r>
      </w:hyperlink>
    </w:p>
    <w:p w:rsidR="00DF63E8" w:rsidRPr="00DF63E8" w:rsidRDefault="008F3094">
      <w:pPr>
        <w:pStyle w:val="TOC3"/>
        <w:tabs>
          <w:tab w:val="right" w:leader="dot" w:pos="9350"/>
        </w:tabs>
        <w:rPr>
          <w:rFonts w:ascii="Calibri" w:eastAsia="Times New Roman" w:hAnsi="Calibri"/>
          <w:i w:val="0"/>
          <w:iCs w:val="0"/>
          <w:sz w:val="24"/>
          <w:szCs w:val="24"/>
          <w:lang w:val="en-US"/>
        </w:rPr>
      </w:pPr>
      <w:hyperlink w:anchor="_Toc251220622" w:history="1">
        <w:r w:rsidR="00DF63E8" w:rsidRPr="00DF63E8">
          <w:rPr>
            <w:rStyle w:val="Hyperlink"/>
            <w:rFonts w:ascii="Calibri" w:hAnsi="Calibri"/>
            <w:sz w:val="24"/>
            <w:szCs w:val="24"/>
          </w:rPr>
          <w:t>3.3. špekulativna vladanja v konjukturne veje industrije (tiste panoge, ki trenutno najvišje kotirajo v državi)</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_Toc251220622 \h </w:instrText>
        </w:r>
        <w:r w:rsidR="00DF63E8" w:rsidRPr="00DF63E8">
          <w:rPr>
            <w:webHidden/>
            <w:sz w:val="24"/>
            <w:szCs w:val="24"/>
          </w:rPr>
        </w:r>
        <w:r w:rsidR="00DF63E8" w:rsidRPr="00DF63E8">
          <w:rPr>
            <w:webHidden/>
            <w:sz w:val="24"/>
            <w:szCs w:val="24"/>
          </w:rPr>
          <w:fldChar w:fldCharType="separate"/>
        </w:r>
        <w:r w:rsidR="00DF63E8">
          <w:rPr>
            <w:webHidden/>
            <w:sz w:val="24"/>
            <w:szCs w:val="24"/>
          </w:rPr>
          <w:t>5</w:t>
        </w:r>
        <w:r w:rsidR="00DF63E8" w:rsidRPr="00DF63E8">
          <w:rPr>
            <w:webHidden/>
            <w:sz w:val="24"/>
            <w:szCs w:val="24"/>
          </w:rPr>
          <w:fldChar w:fldCharType="end"/>
        </w:r>
      </w:hyperlink>
    </w:p>
    <w:p w:rsidR="00DF63E8" w:rsidRPr="00DF63E8" w:rsidRDefault="008F3094">
      <w:pPr>
        <w:pStyle w:val="TOC3"/>
        <w:tabs>
          <w:tab w:val="right" w:leader="dot" w:pos="9350"/>
        </w:tabs>
        <w:rPr>
          <w:rFonts w:ascii="Calibri" w:eastAsia="Times New Roman" w:hAnsi="Calibri"/>
          <w:i w:val="0"/>
          <w:iCs w:val="0"/>
          <w:sz w:val="24"/>
          <w:szCs w:val="24"/>
          <w:lang w:val="en-US"/>
        </w:rPr>
      </w:pPr>
      <w:hyperlink w:anchor="_Toc251220623" w:history="1">
        <w:r w:rsidR="00DF63E8" w:rsidRPr="00DF63E8">
          <w:rPr>
            <w:rStyle w:val="Hyperlink"/>
            <w:rFonts w:ascii="Calibri" w:hAnsi="Calibri"/>
            <w:sz w:val="24"/>
            <w:szCs w:val="24"/>
          </w:rPr>
          <w:t>3.4. nenadzorovano izdajanje vrednostnih papirjev ter državnih obveznic (izgube 30 milijard $ delnic)</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_Toc251220623 \h </w:instrText>
        </w:r>
        <w:r w:rsidR="00DF63E8" w:rsidRPr="00DF63E8">
          <w:rPr>
            <w:webHidden/>
            <w:sz w:val="24"/>
            <w:szCs w:val="24"/>
          </w:rPr>
        </w:r>
        <w:r w:rsidR="00DF63E8" w:rsidRPr="00DF63E8">
          <w:rPr>
            <w:webHidden/>
            <w:sz w:val="24"/>
            <w:szCs w:val="24"/>
          </w:rPr>
          <w:fldChar w:fldCharType="separate"/>
        </w:r>
        <w:r w:rsidR="00DF63E8">
          <w:rPr>
            <w:webHidden/>
            <w:sz w:val="24"/>
            <w:szCs w:val="24"/>
          </w:rPr>
          <w:t>5</w:t>
        </w:r>
        <w:r w:rsidR="00DF63E8" w:rsidRPr="00DF63E8">
          <w:rPr>
            <w:webHidden/>
            <w:sz w:val="24"/>
            <w:szCs w:val="24"/>
          </w:rPr>
          <w:fldChar w:fldCharType="end"/>
        </w:r>
      </w:hyperlink>
    </w:p>
    <w:p w:rsidR="00DF63E8" w:rsidRPr="00DF63E8" w:rsidRDefault="008F3094">
      <w:pPr>
        <w:pStyle w:val="TOC2"/>
        <w:tabs>
          <w:tab w:val="right" w:leader="dot" w:pos="9350"/>
        </w:tabs>
        <w:rPr>
          <w:rFonts w:ascii="Calibri" w:eastAsia="Times New Roman" w:hAnsi="Calibri"/>
          <w:smallCaps w:val="0"/>
          <w:sz w:val="24"/>
          <w:szCs w:val="24"/>
          <w:lang w:val="en-US"/>
        </w:rPr>
      </w:pPr>
      <w:hyperlink w:anchor="_Toc251220624" w:history="1">
        <w:r w:rsidR="00DF63E8" w:rsidRPr="00DF63E8">
          <w:rPr>
            <w:rStyle w:val="Hyperlink"/>
            <w:rFonts w:ascii="Calibri" w:hAnsi="Calibri"/>
            <w:sz w:val="24"/>
            <w:szCs w:val="24"/>
          </w:rPr>
          <w:t>4.POSLEDICE KRIZE</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_Toc251220624 \h </w:instrText>
        </w:r>
        <w:r w:rsidR="00DF63E8" w:rsidRPr="00DF63E8">
          <w:rPr>
            <w:webHidden/>
            <w:sz w:val="24"/>
            <w:szCs w:val="24"/>
          </w:rPr>
        </w:r>
        <w:r w:rsidR="00DF63E8" w:rsidRPr="00DF63E8">
          <w:rPr>
            <w:webHidden/>
            <w:sz w:val="24"/>
            <w:szCs w:val="24"/>
          </w:rPr>
          <w:fldChar w:fldCharType="separate"/>
        </w:r>
        <w:r w:rsidR="00DF63E8">
          <w:rPr>
            <w:webHidden/>
            <w:sz w:val="24"/>
            <w:szCs w:val="24"/>
          </w:rPr>
          <w:t>5</w:t>
        </w:r>
        <w:r w:rsidR="00DF63E8" w:rsidRPr="00DF63E8">
          <w:rPr>
            <w:webHidden/>
            <w:sz w:val="24"/>
            <w:szCs w:val="24"/>
          </w:rPr>
          <w:fldChar w:fldCharType="end"/>
        </w:r>
      </w:hyperlink>
    </w:p>
    <w:p w:rsidR="00DF63E8" w:rsidRPr="00DF63E8" w:rsidRDefault="008F3094">
      <w:pPr>
        <w:pStyle w:val="TOC3"/>
        <w:tabs>
          <w:tab w:val="right" w:leader="dot" w:pos="9350"/>
        </w:tabs>
        <w:rPr>
          <w:rFonts w:ascii="Calibri" w:eastAsia="Times New Roman" w:hAnsi="Calibri"/>
          <w:i w:val="0"/>
          <w:iCs w:val="0"/>
          <w:sz w:val="24"/>
          <w:szCs w:val="24"/>
          <w:lang w:val="en-US"/>
        </w:rPr>
      </w:pPr>
      <w:hyperlink w:anchor="_Toc251220625" w:history="1">
        <w:r w:rsidR="00DF63E8" w:rsidRPr="00DF63E8">
          <w:rPr>
            <w:rStyle w:val="Hyperlink"/>
            <w:sz w:val="24"/>
            <w:szCs w:val="24"/>
          </w:rPr>
          <w:t>4.1. Velika brezposelnost</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_Toc251220625 \h </w:instrText>
        </w:r>
        <w:r w:rsidR="00DF63E8" w:rsidRPr="00DF63E8">
          <w:rPr>
            <w:webHidden/>
            <w:sz w:val="24"/>
            <w:szCs w:val="24"/>
          </w:rPr>
        </w:r>
        <w:r w:rsidR="00DF63E8" w:rsidRPr="00DF63E8">
          <w:rPr>
            <w:webHidden/>
            <w:sz w:val="24"/>
            <w:szCs w:val="24"/>
          </w:rPr>
          <w:fldChar w:fldCharType="separate"/>
        </w:r>
        <w:r w:rsidR="00DF63E8">
          <w:rPr>
            <w:webHidden/>
            <w:sz w:val="24"/>
            <w:szCs w:val="24"/>
          </w:rPr>
          <w:t>5</w:t>
        </w:r>
        <w:r w:rsidR="00DF63E8" w:rsidRPr="00DF63E8">
          <w:rPr>
            <w:webHidden/>
            <w:sz w:val="24"/>
            <w:szCs w:val="24"/>
          </w:rPr>
          <w:fldChar w:fldCharType="end"/>
        </w:r>
      </w:hyperlink>
    </w:p>
    <w:p w:rsidR="00DF63E8" w:rsidRPr="00DF63E8" w:rsidRDefault="008F3094">
      <w:pPr>
        <w:pStyle w:val="TOC3"/>
        <w:tabs>
          <w:tab w:val="right" w:leader="dot" w:pos="9350"/>
        </w:tabs>
        <w:rPr>
          <w:rFonts w:ascii="Calibri" w:eastAsia="Times New Roman" w:hAnsi="Calibri"/>
          <w:i w:val="0"/>
          <w:iCs w:val="0"/>
          <w:sz w:val="24"/>
          <w:szCs w:val="24"/>
          <w:lang w:val="en-US"/>
        </w:rPr>
      </w:pPr>
      <w:hyperlink w:anchor="_Toc251220626" w:history="1">
        <w:r w:rsidR="00DF63E8" w:rsidRPr="00DF63E8">
          <w:rPr>
            <w:rStyle w:val="Hyperlink"/>
            <w:sz w:val="24"/>
            <w:szCs w:val="24"/>
          </w:rPr>
          <w:t>4.2. Večji prepad med bogatim in srednjim slojem</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_Toc251220626 \h </w:instrText>
        </w:r>
        <w:r w:rsidR="00DF63E8" w:rsidRPr="00DF63E8">
          <w:rPr>
            <w:webHidden/>
            <w:sz w:val="24"/>
            <w:szCs w:val="24"/>
          </w:rPr>
        </w:r>
        <w:r w:rsidR="00DF63E8" w:rsidRPr="00DF63E8">
          <w:rPr>
            <w:webHidden/>
            <w:sz w:val="24"/>
            <w:szCs w:val="24"/>
          </w:rPr>
          <w:fldChar w:fldCharType="separate"/>
        </w:r>
        <w:r w:rsidR="00DF63E8">
          <w:rPr>
            <w:webHidden/>
            <w:sz w:val="24"/>
            <w:szCs w:val="24"/>
          </w:rPr>
          <w:t>5</w:t>
        </w:r>
        <w:r w:rsidR="00DF63E8" w:rsidRPr="00DF63E8">
          <w:rPr>
            <w:webHidden/>
            <w:sz w:val="24"/>
            <w:szCs w:val="24"/>
          </w:rPr>
          <w:fldChar w:fldCharType="end"/>
        </w:r>
      </w:hyperlink>
    </w:p>
    <w:p w:rsidR="00DF63E8" w:rsidRPr="00DF63E8" w:rsidRDefault="008F3094">
      <w:pPr>
        <w:pStyle w:val="TOC3"/>
        <w:tabs>
          <w:tab w:val="right" w:leader="dot" w:pos="9350"/>
        </w:tabs>
        <w:rPr>
          <w:rFonts w:ascii="Calibri" w:eastAsia="Times New Roman" w:hAnsi="Calibri"/>
          <w:i w:val="0"/>
          <w:iCs w:val="0"/>
          <w:sz w:val="24"/>
          <w:szCs w:val="24"/>
          <w:lang w:val="en-US"/>
        </w:rPr>
      </w:pPr>
      <w:hyperlink w:anchor="_Toc251220627" w:history="1">
        <w:r w:rsidR="00DF63E8" w:rsidRPr="00DF63E8">
          <w:rPr>
            <w:rStyle w:val="Hyperlink"/>
            <w:sz w:val="24"/>
            <w:szCs w:val="24"/>
          </w:rPr>
          <w:t>4.3. Padec industrijske in kmetijske proizvodnje in trgovine</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_Toc251220627 \h </w:instrText>
        </w:r>
        <w:r w:rsidR="00DF63E8" w:rsidRPr="00DF63E8">
          <w:rPr>
            <w:webHidden/>
            <w:sz w:val="24"/>
            <w:szCs w:val="24"/>
          </w:rPr>
        </w:r>
        <w:r w:rsidR="00DF63E8" w:rsidRPr="00DF63E8">
          <w:rPr>
            <w:webHidden/>
            <w:sz w:val="24"/>
            <w:szCs w:val="24"/>
          </w:rPr>
          <w:fldChar w:fldCharType="separate"/>
        </w:r>
        <w:r w:rsidR="00DF63E8">
          <w:rPr>
            <w:webHidden/>
            <w:sz w:val="24"/>
            <w:szCs w:val="24"/>
          </w:rPr>
          <w:t>6</w:t>
        </w:r>
        <w:r w:rsidR="00DF63E8" w:rsidRPr="00DF63E8">
          <w:rPr>
            <w:webHidden/>
            <w:sz w:val="24"/>
            <w:szCs w:val="24"/>
          </w:rPr>
          <w:fldChar w:fldCharType="end"/>
        </w:r>
      </w:hyperlink>
    </w:p>
    <w:p w:rsidR="00DF63E8" w:rsidRPr="00DF63E8" w:rsidRDefault="008F3094">
      <w:pPr>
        <w:pStyle w:val="TOC3"/>
        <w:tabs>
          <w:tab w:val="right" w:leader="dot" w:pos="9350"/>
        </w:tabs>
        <w:rPr>
          <w:rFonts w:ascii="Calibri" w:eastAsia="Times New Roman" w:hAnsi="Calibri"/>
          <w:i w:val="0"/>
          <w:iCs w:val="0"/>
          <w:sz w:val="24"/>
          <w:szCs w:val="24"/>
          <w:lang w:val="en-US"/>
        </w:rPr>
      </w:pPr>
      <w:hyperlink w:anchor="_Toc251220628" w:history="1">
        <w:r w:rsidR="00DF63E8" w:rsidRPr="00DF63E8">
          <w:rPr>
            <w:rStyle w:val="Hyperlink"/>
            <w:sz w:val="24"/>
            <w:szCs w:val="24"/>
            <w:lang w:val="en-US"/>
          </w:rPr>
          <w:t>4.4. Zapiranje bank</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_Toc251220628 \h </w:instrText>
        </w:r>
        <w:r w:rsidR="00DF63E8" w:rsidRPr="00DF63E8">
          <w:rPr>
            <w:webHidden/>
            <w:sz w:val="24"/>
            <w:szCs w:val="24"/>
          </w:rPr>
        </w:r>
        <w:r w:rsidR="00DF63E8" w:rsidRPr="00DF63E8">
          <w:rPr>
            <w:webHidden/>
            <w:sz w:val="24"/>
            <w:szCs w:val="24"/>
          </w:rPr>
          <w:fldChar w:fldCharType="separate"/>
        </w:r>
        <w:r w:rsidR="00DF63E8">
          <w:rPr>
            <w:webHidden/>
            <w:sz w:val="24"/>
            <w:szCs w:val="24"/>
          </w:rPr>
          <w:t>6</w:t>
        </w:r>
        <w:r w:rsidR="00DF63E8" w:rsidRPr="00DF63E8">
          <w:rPr>
            <w:webHidden/>
            <w:sz w:val="24"/>
            <w:szCs w:val="24"/>
          </w:rPr>
          <w:fldChar w:fldCharType="end"/>
        </w:r>
      </w:hyperlink>
    </w:p>
    <w:p w:rsidR="00DF63E8" w:rsidRPr="00DF63E8" w:rsidRDefault="008F3094">
      <w:pPr>
        <w:pStyle w:val="TOC2"/>
        <w:tabs>
          <w:tab w:val="right" w:leader="dot" w:pos="9350"/>
        </w:tabs>
        <w:rPr>
          <w:rFonts w:ascii="Calibri" w:eastAsia="Times New Roman" w:hAnsi="Calibri"/>
          <w:smallCaps w:val="0"/>
          <w:sz w:val="24"/>
          <w:szCs w:val="24"/>
          <w:lang w:val="en-US"/>
        </w:rPr>
      </w:pPr>
      <w:hyperlink w:anchor="_Toc251220629" w:history="1">
        <w:r w:rsidR="00DF63E8" w:rsidRPr="00DF63E8">
          <w:rPr>
            <w:rStyle w:val="Hyperlink"/>
            <w:rFonts w:ascii="Calibri" w:hAnsi="Calibri"/>
            <w:sz w:val="24"/>
            <w:szCs w:val="24"/>
          </w:rPr>
          <w:t>5. REŠEVANJE KRIZE</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_Toc251220629 \h </w:instrText>
        </w:r>
        <w:r w:rsidR="00DF63E8" w:rsidRPr="00DF63E8">
          <w:rPr>
            <w:webHidden/>
            <w:sz w:val="24"/>
            <w:szCs w:val="24"/>
          </w:rPr>
        </w:r>
        <w:r w:rsidR="00DF63E8" w:rsidRPr="00DF63E8">
          <w:rPr>
            <w:webHidden/>
            <w:sz w:val="24"/>
            <w:szCs w:val="24"/>
          </w:rPr>
          <w:fldChar w:fldCharType="separate"/>
        </w:r>
        <w:r w:rsidR="00DF63E8">
          <w:rPr>
            <w:webHidden/>
            <w:sz w:val="24"/>
            <w:szCs w:val="24"/>
          </w:rPr>
          <w:t>6</w:t>
        </w:r>
        <w:r w:rsidR="00DF63E8" w:rsidRPr="00DF63E8">
          <w:rPr>
            <w:webHidden/>
            <w:sz w:val="24"/>
            <w:szCs w:val="24"/>
          </w:rPr>
          <w:fldChar w:fldCharType="end"/>
        </w:r>
      </w:hyperlink>
    </w:p>
    <w:p w:rsidR="00DF63E8" w:rsidRDefault="008F3094">
      <w:pPr>
        <w:pStyle w:val="TOC2"/>
        <w:tabs>
          <w:tab w:val="right" w:leader="dot" w:pos="9350"/>
        </w:tabs>
        <w:rPr>
          <w:rFonts w:ascii="Calibri" w:eastAsia="Times New Roman" w:hAnsi="Calibri"/>
          <w:smallCaps w:val="0"/>
          <w:sz w:val="22"/>
          <w:szCs w:val="22"/>
          <w:lang w:val="en-US"/>
        </w:rPr>
      </w:pPr>
      <w:hyperlink w:anchor="_Toc251220630" w:history="1">
        <w:r w:rsidR="00DF63E8" w:rsidRPr="00DF63E8">
          <w:rPr>
            <w:rStyle w:val="Hyperlink"/>
            <w:sz w:val="24"/>
            <w:szCs w:val="24"/>
            <w:lang w:val="en-US"/>
          </w:rPr>
          <w:t>6. Gospodarska kriza 2008</w:t>
        </w:r>
        <w:r w:rsidR="00DF63E8" w:rsidRPr="00DF63E8">
          <w:rPr>
            <w:webHidden/>
            <w:sz w:val="24"/>
            <w:szCs w:val="24"/>
          </w:rPr>
          <w:tab/>
        </w:r>
        <w:r w:rsidR="00DF63E8" w:rsidRPr="00DF63E8">
          <w:rPr>
            <w:webHidden/>
            <w:sz w:val="24"/>
            <w:szCs w:val="24"/>
          </w:rPr>
          <w:fldChar w:fldCharType="begin"/>
        </w:r>
        <w:r w:rsidR="00DF63E8" w:rsidRPr="00DF63E8">
          <w:rPr>
            <w:webHidden/>
            <w:sz w:val="24"/>
            <w:szCs w:val="24"/>
          </w:rPr>
          <w:instrText xml:space="preserve"> PAGEREF _Toc251220630 \h </w:instrText>
        </w:r>
        <w:r w:rsidR="00DF63E8" w:rsidRPr="00DF63E8">
          <w:rPr>
            <w:webHidden/>
            <w:sz w:val="24"/>
            <w:szCs w:val="24"/>
          </w:rPr>
        </w:r>
        <w:r w:rsidR="00DF63E8" w:rsidRPr="00DF63E8">
          <w:rPr>
            <w:webHidden/>
            <w:sz w:val="24"/>
            <w:szCs w:val="24"/>
          </w:rPr>
          <w:fldChar w:fldCharType="separate"/>
        </w:r>
        <w:r w:rsidR="00DF63E8">
          <w:rPr>
            <w:webHidden/>
            <w:sz w:val="24"/>
            <w:szCs w:val="24"/>
          </w:rPr>
          <w:t>7</w:t>
        </w:r>
        <w:r w:rsidR="00DF63E8" w:rsidRPr="00DF63E8">
          <w:rPr>
            <w:webHidden/>
            <w:sz w:val="24"/>
            <w:szCs w:val="24"/>
          </w:rPr>
          <w:fldChar w:fldCharType="end"/>
        </w:r>
      </w:hyperlink>
    </w:p>
    <w:p w:rsidR="00DF63E8" w:rsidRDefault="00DF63E8">
      <w:r>
        <w:fldChar w:fldCharType="end"/>
      </w:r>
    </w:p>
    <w:p w:rsidR="00DF63E8" w:rsidRPr="00FA6B5A" w:rsidRDefault="00FA6B5A" w:rsidP="00DF63E8">
      <w:pPr>
        <w:pStyle w:val="TOC2"/>
        <w:tabs>
          <w:tab w:val="right" w:leader="dot" w:pos="9350"/>
        </w:tabs>
        <w:rPr>
          <w:rFonts w:ascii="Calibri" w:eastAsia="Times New Roman" w:hAnsi="Calibri"/>
          <w:smallCaps w:val="0"/>
          <w:sz w:val="28"/>
          <w:szCs w:val="28"/>
          <w:lang w:val="en-US"/>
        </w:rPr>
      </w:pPr>
      <w:r w:rsidRPr="00FA6B5A">
        <w:rPr>
          <w:rFonts w:ascii="Calibri" w:hAnsi="Calibri"/>
          <w:i/>
        </w:rPr>
        <w:fldChar w:fldCharType="begin"/>
      </w:r>
      <w:r w:rsidRPr="00FA6B5A">
        <w:rPr>
          <w:rFonts w:ascii="Calibri" w:hAnsi="Calibri"/>
          <w:i/>
        </w:rPr>
        <w:instrText xml:space="preserve"> TOC \o "1-3" \h \z \u </w:instrText>
      </w:r>
      <w:r w:rsidRPr="00FA6B5A">
        <w:rPr>
          <w:rFonts w:ascii="Calibri" w:hAnsi="Calibri"/>
          <w:i/>
        </w:rPr>
        <w:fldChar w:fldCharType="separate"/>
      </w:r>
    </w:p>
    <w:p w:rsidR="00FA6B5A" w:rsidRPr="00FA6B5A" w:rsidRDefault="00FA6B5A" w:rsidP="00DF63E8">
      <w:pPr>
        <w:pStyle w:val="TOC2"/>
        <w:tabs>
          <w:tab w:val="right" w:leader="dot" w:pos="9350"/>
        </w:tabs>
        <w:rPr>
          <w:rFonts w:ascii="Calibri" w:eastAsia="Times New Roman" w:hAnsi="Calibri"/>
          <w:smallCaps w:val="0"/>
          <w:sz w:val="28"/>
          <w:szCs w:val="28"/>
          <w:lang w:val="en-US"/>
        </w:rPr>
      </w:pPr>
    </w:p>
    <w:p w:rsidR="00FA6B5A" w:rsidRDefault="00FA6B5A" w:rsidP="00FA6B5A">
      <w:pPr>
        <w:pStyle w:val="Heading2"/>
        <w:rPr>
          <w:rFonts w:ascii="Calibri" w:hAnsi="Calibri"/>
          <w:i w:val="0"/>
        </w:rPr>
      </w:pPr>
      <w:r w:rsidRPr="00FA6B5A">
        <w:rPr>
          <w:rFonts w:ascii="Calibri" w:hAnsi="Calibri"/>
          <w:i w:val="0"/>
        </w:rPr>
        <w:fldChar w:fldCharType="end"/>
      </w:r>
    </w:p>
    <w:p w:rsidR="00FA6B5A" w:rsidRDefault="00FA6B5A" w:rsidP="00FA6B5A">
      <w:pPr>
        <w:pStyle w:val="Heading2"/>
        <w:rPr>
          <w:rFonts w:ascii="Calibri" w:hAnsi="Calibri"/>
          <w:i w:val="0"/>
        </w:rPr>
      </w:pPr>
      <w:bookmarkStart w:id="1" w:name="_Toc251173216"/>
      <w:bookmarkStart w:id="2" w:name="_Toc251173285"/>
    </w:p>
    <w:p w:rsidR="00FA6B5A" w:rsidRDefault="00FA6B5A" w:rsidP="00FA6B5A">
      <w:pPr>
        <w:pStyle w:val="Heading2"/>
        <w:rPr>
          <w:rFonts w:ascii="Calibri" w:hAnsi="Calibri"/>
          <w:i w:val="0"/>
        </w:rPr>
      </w:pPr>
    </w:p>
    <w:p w:rsidR="00FA6B5A" w:rsidRDefault="00FA6B5A" w:rsidP="00FA6B5A">
      <w:pPr>
        <w:pStyle w:val="Heading2"/>
        <w:rPr>
          <w:rFonts w:ascii="Calibri" w:hAnsi="Calibri"/>
          <w:i w:val="0"/>
        </w:rPr>
      </w:pPr>
    </w:p>
    <w:p w:rsidR="00FA6B5A" w:rsidRDefault="00FA6B5A" w:rsidP="00FA6B5A">
      <w:pPr>
        <w:pStyle w:val="Heading2"/>
        <w:rPr>
          <w:rFonts w:ascii="Calibri" w:hAnsi="Calibri"/>
          <w:i w:val="0"/>
        </w:rPr>
      </w:pPr>
    </w:p>
    <w:p w:rsidR="00FA6B5A" w:rsidRDefault="00FA6B5A" w:rsidP="00FA6B5A">
      <w:pPr>
        <w:pStyle w:val="Heading2"/>
        <w:rPr>
          <w:rFonts w:ascii="Calibri" w:hAnsi="Calibri"/>
          <w:i w:val="0"/>
        </w:rPr>
      </w:pPr>
      <w:bookmarkStart w:id="3" w:name="_Toc251173392"/>
    </w:p>
    <w:p w:rsidR="00DF63E8" w:rsidRDefault="00DF63E8" w:rsidP="00FA6B5A">
      <w:pPr>
        <w:pStyle w:val="Heading2"/>
        <w:rPr>
          <w:rFonts w:ascii="Calibri" w:hAnsi="Calibri" w:cs="Times New Roman"/>
          <w:b w:val="0"/>
          <w:bCs w:val="0"/>
          <w:i w:val="0"/>
          <w:iCs w:val="0"/>
          <w:sz w:val="22"/>
          <w:szCs w:val="22"/>
        </w:rPr>
      </w:pPr>
    </w:p>
    <w:p w:rsidR="00DF63E8" w:rsidRPr="00DF63E8" w:rsidRDefault="00DF63E8" w:rsidP="00DF63E8"/>
    <w:p w:rsidR="00DF63E8" w:rsidRDefault="00DF63E8" w:rsidP="00FA6B5A">
      <w:pPr>
        <w:pStyle w:val="Heading2"/>
        <w:rPr>
          <w:rFonts w:ascii="Calibri" w:hAnsi="Calibri"/>
          <w:i w:val="0"/>
        </w:rPr>
      </w:pPr>
      <w:bookmarkStart w:id="4" w:name="_Toc251220552"/>
    </w:p>
    <w:p w:rsidR="00DF63E8" w:rsidRPr="00DF63E8" w:rsidRDefault="00DF63E8" w:rsidP="00DF63E8"/>
    <w:p w:rsidR="00394F46" w:rsidRPr="00FA6B5A" w:rsidRDefault="00FA6B5A" w:rsidP="00FA6B5A">
      <w:pPr>
        <w:pStyle w:val="Heading2"/>
        <w:rPr>
          <w:rFonts w:ascii="Calibri" w:hAnsi="Calibri"/>
          <w:i w:val="0"/>
        </w:rPr>
      </w:pPr>
      <w:bookmarkStart w:id="5" w:name="_Toc251220617"/>
      <w:r w:rsidRPr="00FA6B5A">
        <w:rPr>
          <w:rFonts w:ascii="Calibri" w:hAnsi="Calibri"/>
          <w:i w:val="0"/>
        </w:rPr>
        <w:lastRenderedPageBreak/>
        <w:t>1.UVOD</w:t>
      </w:r>
      <w:bookmarkEnd w:id="1"/>
      <w:bookmarkEnd w:id="2"/>
      <w:bookmarkEnd w:id="3"/>
      <w:bookmarkEnd w:id="4"/>
      <w:bookmarkEnd w:id="5"/>
    </w:p>
    <w:p w:rsidR="00FA6B5A" w:rsidRPr="00FA6B5A" w:rsidRDefault="00FA6B5A" w:rsidP="00FA6B5A">
      <w:pPr>
        <w:pStyle w:val="slog2"/>
        <w:rPr>
          <w:rFonts w:ascii="Calibri" w:hAnsi="Calibri"/>
          <w:sz w:val="22"/>
          <w:szCs w:val="22"/>
        </w:rPr>
      </w:pPr>
      <w:r w:rsidRPr="00FA6B5A">
        <w:rPr>
          <w:rFonts w:ascii="Calibri" w:hAnsi="Calibri"/>
          <w:sz w:val="22"/>
          <w:szCs w:val="22"/>
        </w:rPr>
        <w:t xml:space="preserve">Tehnološki napredek je pospešil </w:t>
      </w:r>
      <w:r w:rsidRPr="00FA6B5A">
        <w:rPr>
          <w:rFonts w:ascii="Calibri" w:hAnsi="Calibri"/>
          <w:b/>
          <w:sz w:val="22"/>
          <w:szCs w:val="22"/>
        </w:rPr>
        <w:t>razmah proizvodnje</w:t>
      </w:r>
      <w:r w:rsidRPr="00FA6B5A">
        <w:rPr>
          <w:rFonts w:ascii="Calibri" w:hAnsi="Calibri"/>
          <w:sz w:val="22"/>
          <w:szCs w:val="22"/>
        </w:rPr>
        <w:t xml:space="preserve"> in </w:t>
      </w:r>
      <w:r w:rsidRPr="00FA6B5A">
        <w:rPr>
          <w:rFonts w:ascii="Calibri" w:hAnsi="Calibri"/>
          <w:b/>
          <w:sz w:val="22"/>
          <w:szCs w:val="22"/>
        </w:rPr>
        <w:t>povezovanje gospodarskih panog v velike sisteme</w:t>
      </w:r>
      <w:r w:rsidRPr="00FA6B5A">
        <w:rPr>
          <w:rFonts w:ascii="Calibri" w:hAnsi="Calibri"/>
          <w:sz w:val="22"/>
          <w:szCs w:val="22"/>
        </w:rPr>
        <w:t xml:space="preserve"> (</w:t>
      </w:r>
      <w:r w:rsidRPr="00FA6B5A">
        <w:rPr>
          <w:rFonts w:ascii="Calibri" w:hAnsi="Calibri"/>
          <w:sz w:val="22"/>
          <w:szCs w:val="22"/>
          <w:u w:val="single"/>
        </w:rPr>
        <w:t>koncerne</w:t>
      </w:r>
      <w:r w:rsidRPr="00FA6B5A">
        <w:rPr>
          <w:rFonts w:ascii="Calibri" w:hAnsi="Calibri"/>
          <w:sz w:val="22"/>
          <w:szCs w:val="22"/>
        </w:rPr>
        <w:t xml:space="preserve">, </w:t>
      </w:r>
      <w:r w:rsidRPr="00FA6B5A">
        <w:rPr>
          <w:rFonts w:ascii="Calibri" w:hAnsi="Calibri"/>
          <w:sz w:val="22"/>
          <w:szCs w:val="22"/>
          <w:u w:val="single"/>
        </w:rPr>
        <w:t>truste</w:t>
      </w:r>
      <w:r w:rsidRPr="00FA6B5A">
        <w:rPr>
          <w:rFonts w:ascii="Calibri" w:hAnsi="Calibri"/>
          <w:sz w:val="22"/>
          <w:szCs w:val="22"/>
        </w:rPr>
        <w:t xml:space="preserve">, </w:t>
      </w:r>
      <w:r w:rsidRPr="00FA6B5A">
        <w:rPr>
          <w:rFonts w:ascii="Calibri" w:hAnsi="Calibri"/>
          <w:sz w:val="22"/>
          <w:szCs w:val="22"/>
          <w:u w:val="single"/>
        </w:rPr>
        <w:t>multinacionalne družbe</w:t>
      </w:r>
      <w:r w:rsidRPr="00FA6B5A">
        <w:rPr>
          <w:rFonts w:ascii="Calibri" w:hAnsi="Calibri"/>
          <w:sz w:val="22"/>
          <w:szCs w:val="22"/>
        </w:rPr>
        <w:t xml:space="preserve">), </w:t>
      </w:r>
      <w:r w:rsidRPr="00FA6B5A">
        <w:rPr>
          <w:rFonts w:ascii="Calibri" w:hAnsi="Calibri"/>
          <w:b/>
          <w:sz w:val="22"/>
          <w:szCs w:val="22"/>
        </w:rPr>
        <w:t>koncentracijo kapitala</w:t>
      </w:r>
      <w:r w:rsidRPr="00FA6B5A">
        <w:rPr>
          <w:rFonts w:ascii="Calibri" w:hAnsi="Calibri"/>
          <w:sz w:val="22"/>
          <w:szCs w:val="22"/>
        </w:rPr>
        <w:t xml:space="preserve"> in </w:t>
      </w:r>
      <w:r w:rsidRPr="00FA6B5A">
        <w:rPr>
          <w:rFonts w:ascii="Calibri" w:hAnsi="Calibri"/>
          <w:b/>
          <w:sz w:val="22"/>
          <w:szCs w:val="22"/>
        </w:rPr>
        <w:t>monopolizem</w:t>
      </w:r>
      <w:r w:rsidRPr="00FA6B5A">
        <w:rPr>
          <w:rFonts w:ascii="Calibri" w:hAnsi="Calibri"/>
          <w:sz w:val="22"/>
          <w:szCs w:val="22"/>
        </w:rPr>
        <w:t xml:space="preserve">. Obdobja intenzivnega razvoja so se menjavala z </w:t>
      </w:r>
      <w:r w:rsidRPr="00FA6B5A">
        <w:rPr>
          <w:rFonts w:ascii="Calibri" w:hAnsi="Calibri"/>
          <w:b/>
          <w:i/>
          <w:sz w:val="22"/>
          <w:szCs w:val="22"/>
          <w:u w:val="single"/>
        </w:rPr>
        <w:t>obdobji kriz</w:t>
      </w:r>
      <w:r w:rsidRPr="00FA6B5A">
        <w:rPr>
          <w:rFonts w:ascii="Calibri" w:hAnsi="Calibri"/>
          <w:sz w:val="22"/>
          <w:szCs w:val="22"/>
        </w:rPr>
        <w:t xml:space="preserve">, </w:t>
      </w:r>
      <w:r w:rsidRPr="00FA6B5A">
        <w:rPr>
          <w:rFonts w:ascii="Calibri" w:hAnsi="Calibri"/>
          <w:b/>
          <w:i/>
          <w:sz w:val="22"/>
          <w:szCs w:val="22"/>
          <w:u w:val="single"/>
        </w:rPr>
        <w:t>hiperprodukcije</w:t>
      </w:r>
      <w:r w:rsidRPr="00FA6B5A">
        <w:rPr>
          <w:rFonts w:ascii="Calibri" w:hAnsi="Calibri"/>
          <w:sz w:val="22"/>
          <w:szCs w:val="22"/>
        </w:rPr>
        <w:t xml:space="preserve"> in </w:t>
      </w:r>
      <w:r w:rsidRPr="00FA6B5A">
        <w:rPr>
          <w:rFonts w:ascii="Calibri" w:hAnsi="Calibri"/>
          <w:b/>
          <w:i/>
          <w:sz w:val="22"/>
          <w:szCs w:val="22"/>
          <w:u w:val="single"/>
        </w:rPr>
        <w:t>stagnacije</w:t>
      </w:r>
      <w:r w:rsidRPr="00FA6B5A">
        <w:rPr>
          <w:rFonts w:ascii="Calibri" w:hAnsi="Calibri"/>
          <w:sz w:val="22"/>
          <w:szCs w:val="22"/>
        </w:rPr>
        <w:t xml:space="preserve">. V razmeroma kratkem obdobju je svet doživel </w:t>
      </w:r>
      <w:r w:rsidRPr="00FA6B5A">
        <w:rPr>
          <w:rFonts w:ascii="Calibri" w:hAnsi="Calibri"/>
          <w:b/>
          <w:sz w:val="22"/>
          <w:szCs w:val="22"/>
          <w:u w:val="single"/>
        </w:rPr>
        <w:t>tri gospodarske krize</w:t>
      </w:r>
      <w:r w:rsidRPr="00FA6B5A">
        <w:rPr>
          <w:rFonts w:ascii="Calibri" w:hAnsi="Calibri"/>
          <w:sz w:val="22"/>
          <w:szCs w:val="22"/>
        </w:rPr>
        <w:t xml:space="preserve"> (1920-23, 1929-33, 1937/38). Še pogostejše so bile </w:t>
      </w:r>
      <w:r w:rsidRPr="00FA6B5A">
        <w:rPr>
          <w:rFonts w:ascii="Calibri" w:hAnsi="Calibri"/>
          <w:b/>
          <w:sz w:val="22"/>
          <w:szCs w:val="22"/>
        </w:rPr>
        <w:t>krize kmetijstva</w:t>
      </w:r>
      <w:r w:rsidRPr="00FA6B5A">
        <w:rPr>
          <w:rFonts w:ascii="Calibri" w:hAnsi="Calibri"/>
          <w:sz w:val="22"/>
          <w:szCs w:val="22"/>
        </w:rPr>
        <w:t>, ki jih nikjer niso učinkovito odpravili.</w:t>
      </w:r>
    </w:p>
    <w:p w:rsidR="00FA6B5A" w:rsidRPr="00FA6B5A" w:rsidRDefault="00FA6B5A" w:rsidP="00FA6B5A">
      <w:pPr>
        <w:pStyle w:val="slog2"/>
        <w:rPr>
          <w:rFonts w:ascii="Calibri" w:hAnsi="Calibri"/>
          <w:sz w:val="22"/>
          <w:szCs w:val="22"/>
        </w:rPr>
      </w:pPr>
      <w:r w:rsidRPr="00FA6B5A">
        <w:rPr>
          <w:rFonts w:ascii="Calibri" w:hAnsi="Calibri"/>
          <w:sz w:val="22"/>
          <w:szCs w:val="22"/>
        </w:rPr>
        <w:t xml:space="preserve">Posledica kriz so bile zelo </w:t>
      </w:r>
      <w:r w:rsidRPr="00FA6B5A">
        <w:rPr>
          <w:rFonts w:ascii="Calibri" w:hAnsi="Calibri"/>
          <w:sz w:val="22"/>
          <w:szCs w:val="22"/>
          <w:u w:val="single"/>
        </w:rPr>
        <w:t>nestabilne družbene in politične razmere</w:t>
      </w:r>
      <w:r w:rsidRPr="00FA6B5A">
        <w:rPr>
          <w:rFonts w:ascii="Calibri" w:hAnsi="Calibri"/>
          <w:sz w:val="22"/>
          <w:szCs w:val="22"/>
        </w:rPr>
        <w:t>, zato je postajal boj za kolonije, tržišča, surovine in svetovne komunikacije vse ostrejši.</w:t>
      </w:r>
    </w:p>
    <w:p w:rsidR="00FA6B5A" w:rsidRPr="00FA6B5A" w:rsidRDefault="00FA6B5A" w:rsidP="00FA6B5A">
      <w:pPr>
        <w:pStyle w:val="slog2"/>
        <w:rPr>
          <w:rFonts w:ascii="Calibri" w:hAnsi="Calibri"/>
          <w:sz w:val="22"/>
          <w:szCs w:val="22"/>
        </w:rPr>
      </w:pPr>
      <w:r w:rsidRPr="00FA6B5A">
        <w:rPr>
          <w:rFonts w:ascii="Calibri" w:hAnsi="Calibri"/>
          <w:sz w:val="22"/>
          <w:szCs w:val="22"/>
        </w:rPr>
        <w:t>Ob koncu prve svetovne vojne se je v ZDA nadaljevala medvojna konjunktura, v Veliki Britaniji se je povečala inflacija, japonsko in francosko gospodarstvo pa sta zaradi pridobljenih ozemelj nekoliko oživeli.</w:t>
      </w:r>
    </w:p>
    <w:p w:rsidR="00FA6B5A" w:rsidRPr="00FA6B5A" w:rsidRDefault="00FA6B5A" w:rsidP="00FA6B5A">
      <w:pPr>
        <w:pStyle w:val="slog2"/>
        <w:rPr>
          <w:rFonts w:ascii="Calibri" w:hAnsi="Calibri"/>
          <w:sz w:val="22"/>
          <w:szCs w:val="22"/>
        </w:rPr>
      </w:pPr>
      <w:r w:rsidRPr="00FA6B5A">
        <w:rPr>
          <w:rFonts w:ascii="Calibri" w:hAnsi="Calibri"/>
          <w:sz w:val="22"/>
          <w:szCs w:val="22"/>
        </w:rPr>
        <w:t xml:space="preserve">Toda že leta 1920 se je v ZDA, v skandinavskih državah in v Švici pojavila </w:t>
      </w:r>
      <w:r w:rsidRPr="00FA6B5A">
        <w:rPr>
          <w:rFonts w:ascii="Calibri" w:hAnsi="Calibri"/>
          <w:b/>
          <w:sz w:val="22"/>
          <w:szCs w:val="22"/>
        </w:rPr>
        <w:t>hiperprodukcija</w:t>
      </w:r>
      <w:r w:rsidRPr="00FA6B5A">
        <w:rPr>
          <w:rFonts w:ascii="Calibri" w:hAnsi="Calibri"/>
          <w:sz w:val="22"/>
          <w:szCs w:val="22"/>
        </w:rPr>
        <w:t xml:space="preserve">. V državah, ki pa so v vojni najbolj trpele pa je prizadela huda </w:t>
      </w:r>
      <w:r w:rsidRPr="00FA6B5A">
        <w:rPr>
          <w:rFonts w:ascii="Calibri" w:hAnsi="Calibri"/>
          <w:b/>
          <w:sz w:val="22"/>
          <w:szCs w:val="22"/>
        </w:rPr>
        <w:t>inflacija</w:t>
      </w:r>
      <w:r w:rsidRPr="00FA6B5A">
        <w:rPr>
          <w:rFonts w:ascii="Calibri" w:hAnsi="Calibri"/>
          <w:sz w:val="22"/>
          <w:szCs w:val="22"/>
        </w:rPr>
        <w:t xml:space="preserve"> (Nemčija, Avstrija, Madžarska, Češka). Najhujša je bila v Nemčiji, vrh je dosegla leta 1923, ko so se cene menjavale iz ure v uro.</w:t>
      </w:r>
    </w:p>
    <w:p w:rsidR="00FA6B5A" w:rsidRPr="00FA6B5A" w:rsidRDefault="00FA6B5A" w:rsidP="00FA6B5A">
      <w:pPr>
        <w:pStyle w:val="slog2"/>
        <w:rPr>
          <w:rFonts w:ascii="Calibri" w:hAnsi="Calibri"/>
          <w:sz w:val="22"/>
          <w:szCs w:val="22"/>
        </w:rPr>
      </w:pPr>
      <w:r w:rsidRPr="00FA6B5A">
        <w:rPr>
          <w:rFonts w:ascii="Calibri" w:hAnsi="Calibri"/>
          <w:sz w:val="22"/>
          <w:szCs w:val="22"/>
        </w:rPr>
        <w:t xml:space="preserve">Z obvladovanjem gospodarske krize in inflacije se je v svetu začelo </w:t>
      </w:r>
      <w:r w:rsidRPr="00FA6B5A">
        <w:rPr>
          <w:rFonts w:ascii="Calibri" w:hAnsi="Calibri"/>
          <w:b/>
          <w:sz w:val="22"/>
          <w:szCs w:val="22"/>
        </w:rPr>
        <w:t>šestletno obdobje gospodarskega vzpona</w:t>
      </w:r>
      <w:r w:rsidRPr="00FA6B5A">
        <w:rPr>
          <w:rFonts w:ascii="Calibri" w:hAnsi="Calibri"/>
          <w:sz w:val="22"/>
          <w:szCs w:val="22"/>
        </w:rPr>
        <w:t>. ZDA so postale največji investitor v tujini, valute so se stabilizirale, mednarodni trg se je začel urejati, mednarodna trgovina pa počasi naraščati. Deloma si je opomoglo tudi kmetijstvo.</w:t>
      </w:r>
    </w:p>
    <w:p w:rsidR="00FA6B5A" w:rsidRPr="00FA6B5A" w:rsidRDefault="00FA6B5A" w:rsidP="00FA6B5A">
      <w:pPr>
        <w:pStyle w:val="slog2"/>
        <w:rPr>
          <w:rFonts w:ascii="Calibri" w:hAnsi="Calibri"/>
          <w:sz w:val="22"/>
          <w:szCs w:val="22"/>
        </w:rPr>
      </w:pPr>
      <w:r w:rsidRPr="00FA6B5A">
        <w:rPr>
          <w:rFonts w:ascii="Calibri" w:hAnsi="Calibri"/>
          <w:sz w:val="22"/>
          <w:szCs w:val="22"/>
        </w:rPr>
        <w:t xml:space="preserve">Čeprav sta bili lakota in beda v svetu zelo razširjeni, so se v razvitih državah kopičili </w:t>
      </w:r>
      <w:r w:rsidRPr="00FA6B5A">
        <w:rPr>
          <w:rFonts w:ascii="Calibri" w:hAnsi="Calibri"/>
          <w:b/>
          <w:sz w:val="22"/>
          <w:szCs w:val="22"/>
        </w:rPr>
        <w:t>proizvodni presežki</w:t>
      </w:r>
      <w:r w:rsidRPr="00FA6B5A">
        <w:rPr>
          <w:rFonts w:ascii="Calibri" w:hAnsi="Calibri"/>
          <w:sz w:val="22"/>
          <w:szCs w:val="22"/>
        </w:rPr>
        <w:t>, saj so cene kmetijskim pridelkom zaradi prevelike ponudbe strmoglavo padale. In prav cenovno nesorazmerje med kmetijskimi pridelki in industrijskimi proizvodi je bilo eden izmed vzrokov za gospodarsko krizo. Drugi vir krize so bili močno kreditiranje, vlaganja v konjunkturne veje industrije, nenadzorovano izdajanje vrednostnih papirjev ter državnih obveznic.</w:t>
      </w:r>
    </w:p>
    <w:p w:rsidR="00FA6B5A" w:rsidRPr="00FA6B5A" w:rsidRDefault="00FA6B5A" w:rsidP="00FA6B5A">
      <w:r w:rsidRPr="00FA6B5A">
        <w:t xml:space="preserve">Večina držav je vrhunec industrijskega razvoja dosegla leta 1929, nato pa je še istega leta sledil nagel padec. Začelo se je v ZDA, ki so imele rekordno proizvodnjo, rekorden investicijski vložek in ogromno količino neprodanih proizvodov. Polna skladišča so sprožila zniževanje cen, zmanjševanje proizvodnje, množično opuščanje delavcev, padanje cen vrednostnim papirjem. </w:t>
      </w:r>
      <w:r w:rsidRPr="00FA6B5A">
        <w:rPr>
          <w:b/>
        </w:rPr>
        <w:t>Polom na newyorški borzi</w:t>
      </w:r>
      <w:r w:rsidRPr="00FA6B5A">
        <w:t xml:space="preserve"> je sprožil verižno reakcijo. Kriza je zajela ves svet in vse panoge gospodarstva, stopnjevala pa se je dobra 4 leta. Najbolj je prizadela množice delavcev, uslužbencev in kmetov</w:t>
      </w: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DF63E8" w:rsidRDefault="00DF63E8" w:rsidP="00FA6B5A">
      <w:pPr>
        <w:pStyle w:val="Heading2"/>
        <w:rPr>
          <w:i w:val="0"/>
          <w:lang w:val="en-US"/>
        </w:rPr>
      </w:pPr>
      <w:bookmarkStart w:id="6" w:name="_Toc251173393"/>
    </w:p>
    <w:p w:rsidR="00FA6B5A" w:rsidRPr="00FA6B5A" w:rsidRDefault="00FA6B5A" w:rsidP="00FA6B5A">
      <w:pPr>
        <w:pStyle w:val="Heading2"/>
        <w:rPr>
          <w:i w:val="0"/>
          <w:lang w:val="en-US"/>
        </w:rPr>
      </w:pPr>
      <w:bookmarkStart w:id="7" w:name="_Toc251220553"/>
      <w:bookmarkStart w:id="8" w:name="_Toc251220618"/>
      <w:r w:rsidRPr="00FA6B5A">
        <w:rPr>
          <w:i w:val="0"/>
          <w:lang w:val="en-US"/>
        </w:rPr>
        <w:t>2. BORZNI ZLOM 1929</w:t>
      </w:r>
      <w:bookmarkEnd w:id="6"/>
      <w:bookmarkEnd w:id="7"/>
      <w:bookmarkEnd w:id="8"/>
    </w:p>
    <w:p w:rsidR="00FA6B5A" w:rsidRPr="00FA6B5A" w:rsidRDefault="00FA6B5A" w:rsidP="00FA6B5A">
      <w:pPr>
        <w:pStyle w:val="NormalWeb"/>
        <w:rPr>
          <w:rFonts w:ascii="Calibri" w:hAnsi="Calibri"/>
          <w:sz w:val="22"/>
          <w:szCs w:val="22"/>
        </w:rPr>
      </w:pPr>
      <w:r w:rsidRPr="00FA6B5A">
        <w:rPr>
          <w:rFonts w:ascii="Calibri" w:hAnsi="Calibri"/>
          <w:sz w:val="22"/>
          <w:szCs w:val="22"/>
        </w:rPr>
        <w:t xml:space="preserve">Kot rezultat ameriške industrijske revolucije je delniški trg 4. septembra 1929 dosegel vrh. V tem času so banke v polni meri vlagale na trg, vlagatelji so na podlagi posojil (margina) kupovali velikanske količine delnic. Zaradi močnega gospodarskega razcveta je takrat večina ekonomistov dojemala delnice kot ekstremno varne. Oktobra istega leta, ko je bilo že jasno, da ameriškemu gospodarstvu pojenja sapa, je delniški trg izgubil že 20 odstotkov. Borzni zlom se je začel z razprodajo delnic v četrtek, 24. oktobra 1929, in s samomori borznih špekulantov, ki so se metali v smrt s stolpnic na Wall Streetu. Na ta dan je trg upadel za 13,5 odstotka. Na zgodovinski dan v ponedeljek so delnice izgubile 11,5 odstotka vrednosti, v torek še 12 odstotkov. </w:t>
      </w:r>
    </w:p>
    <w:p w:rsidR="00FA6B5A" w:rsidRPr="00FA6B5A" w:rsidRDefault="00FA6B5A" w:rsidP="00FA6B5A">
      <w:pPr>
        <w:pStyle w:val="NormalWeb"/>
        <w:rPr>
          <w:rFonts w:ascii="Calibri" w:hAnsi="Calibri"/>
          <w:sz w:val="22"/>
          <w:szCs w:val="22"/>
        </w:rPr>
      </w:pPr>
      <w:r w:rsidRPr="00FA6B5A">
        <w:rPr>
          <w:rFonts w:ascii="Calibri" w:hAnsi="Calibri"/>
          <w:sz w:val="22"/>
          <w:szCs w:val="22"/>
        </w:rPr>
        <w:t xml:space="preserve">Vse to je pomenilo šele začetek medvedjega obdobja. Čeprav se je razprodaja v novembru kratkoročno končala, trenda navzdol več ni bilo mogoče ustaviti. V treh letih je tako v tistem času najpomembnejši svetovni delniški indeks izgubil skoraj 90 odstotkov vrednosti. Da se je indeks pobral, je trajalo celotno vlagateljsko generacijo. Stari vrh pri 381 točkah je dosegel šele novembra leta 1954. Posledice največjega borznega zloma so znane: razrasel se je v veliko ameriško in svetovno gospodarsko krizo. </w:t>
      </w:r>
    </w:p>
    <w:p w:rsidR="00FA6B5A" w:rsidRPr="00FA6B5A" w:rsidRDefault="008F3094" w:rsidP="00FA6B5A">
      <w:pPr>
        <w:pStyle w:val="NormalWeb"/>
        <w:rPr>
          <w:rFonts w:ascii="Calibri" w:hAnsi="Calibri"/>
        </w:rPr>
      </w:pPr>
      <w:r>
        <w:rPr>
          <w:rFonts w:ascii="Calibri" w:hAnsi="Calibri"/>
        </w:rPr>
        <w:pict>
          <v:shape id="_x0000_i1028" type="#_x0000_t75" style="width:413.25pt;height:270.75pt">
            <v:imagedata r:id="rId9" o:title=""/>
          </v:shape>
        </w:pict>
      </w:r>
    </w:p>
    <w:p w:rsidR="00FA6B5A" w:rsidRPr="00FA6B5A" w:rsidRDefault="00FA6B5A" w:rsidP="00FA6B5A">
      <w:pPr>
        <w:pStyle w:val="NormalWeb"/>
        <w:rPr>
          <w:rFonts w:ascii="Calibri" w:hAnsi="Calibri"/>
        </w:rPr>
      </w:pPr>
    </w:p>
    <w:p w:rsidR="00FA6B5A" w:rsidRDefault="00FA6B5A" w:rsidP="00FA6B5A">
      <w:pPr>
        <w:pStyle w:val="Heading2"/>
        <w:ind w:left="360"/>
        <w:rPr>
          <w:rFonts w:ascii="Calibri" w:hAnsi="Calibri"/>
          <w:i w:val="0"/>
        </w:rPr>
      </w:pPr>
    </w:p>
    <w:p w:rsidR="00FA6B5A" w:rsidRDefault="00FA6B5A" w:rsidP="00FA6B5A"/>
    <w:p w:rsidR="00DF63E8" w:rsidRPr="00DF63E8" w:rsidRDefault="00DF63E8" w:rsidP="00DF63E8">
      <w:bookmarkStart w:id="9" w:name="_Toc251173217"/>
      <w:bookmarkStart w:id="10" w:name="_Toc251173286"/>
      <w:bookmarkStart w:id="11" w:name="_Toc251173394"/>
    </w:p>
    <w:p w:rsidR="00FA6B5A" w:rsidRPr="00DF63E8" w:rsidRDefault="00DF63E8" w:rsidP="00DF63E8">
      <w:pPr>
        <w:pStyle w:val="Heading2"/>
        <w:ind w:left="720"/>
        <w:rPr>
          <w:rFonts w:ascii="Calibri" w:hAnsi="Calibri"/>
          <w:i w:val="0"/>
        </w:rPr>
      </w:pPr>
      <w:bookmarkStart w:id="12" w:name="_Toc251220554"/>
      <w:bookmarkStart w:id="13" w:name="_Toc251220619"/>
      <w:r>
        <w:rPr>
          <w:rFonts w:ascii="Calibri" w:hAnsi="Calibri"/>
          <w:i w:val="0"/>
        </w:rPr>
        <w:lastRenderedPageBreak/>
        <w:t xml:space="preserve">3. </w:t>
      </w:r>
      <w:r w:rsidR="00FA6B5A" w:rsidRPr="00DF63E8">
        <w:rPr>
          <w:rFonts w:ascii="Calibri" w:hAnsi="Calibri"/>
          <w:i w:val="0"/>
        </w:rPr>
        <w:t>VZROKI ZA KRIZO</w:t>
      </w:r>
      <w:bookmarkEnd w:id="9"/>
      <w:bookmarkEnd w:id="10"/>
      <w:bookmarkEnd w:id="11"/>
      <w:bookmarkEnd w:id="12"/>
      <w:bookmarkEnd w:id="13"/>
    </w:p>
    <w:p w:rsidR="00FA6B5A" w:rsidRPr="00FA6B5A" w:rsidRDefault="00FA6B5A" w:rsidP="00FA6B5A">
      <w:pPr>
        <w:pStyle w:val="Heading3"/>
      </w:pPr>
      <w:bookmarkStart w:id="14" w:name="_Toc251173218"/>
      <w:bookmarkStart w:id="15" w:name="_Toc251173287"/>
      <w:bookmarkStart w:id="16" w:name="_Toc251173395"/>
      <w:bookmarkStart w:id="17" w:name="_Toc251220555"/>
      <w:bookmarkStart w:id="18" w:name="_Toc251220620"/>
      <w:r w:rsidRPr="00FA6B5A">
        <w:t>3.1.Cenovno nesorazmerje med kmetijskimi izdelki in industrijskimi proizvodi</w:t>
      </w:r>
      <w:bookmarkEnd w:id="14"/>
      <w:bookmarkEnd w:id="15"/>
      <w:bookmarkEnd w:id="16"/>
      <w:bookmarkEnd w:id="17"/>
      <w:bookmarkEnd w:id="18"/>
    </w:p>
    <w:p w:rsidR="00FA6B5A" w:rsidRDefault="00FA6B5A" w:rsidP="00FA6B5A">
      <w:pPr>
        <w:rPr>
          <w:rFonts w:ascii="Arial" w:hAnsi="Arial" w:cs="Arial"/>
          <w:b/>
          <w:bCs/>
          <w:sz w:val="20"/>
          <w:szCs w:val="20"/>
        </w:rPr>
      </w:pPr>
    </w:p>
    <w:p w:rsidR="00FA6B5A" w:rsidRDefault="00FA6B5A" w:rsidP="00FA6B5A">
      <w:r w:rsidRPr="00FA6B5A">
        <w:t>V ZDA je bilo kmetijstvo popolnoma mehanizirano in so zato, vsaj kar zadeva pšenico in meso, bile ameriške cene konkurenčne, treba pa je bilo nabaviti kmetijske stroje. Tako se je začela na veliko širiti prodaja vseh dobrin na obroke. Banke so začele vnaprej dajati začetni znesek, potem pa so dobile povrnjene obroke z vštetimi mesečnimi obrestmi. Zaradi tega so zorali tudi zemljišča, ki za pridelek niso bila povsem primerna. Prišlo je do številnih erozij zemljišč in posledičnega propada številnih kmetov. Ti seveda niso bili sposobni poplačati svojih strojev, zato so propadle številne banke nacionalnega pomena, ki niso imele dovolj likvidnih sredstev, da bi se postavile po robu številnim propadom.</w:t>
      </w:r>
    </w:p>
    <w:p w:rsidR="00FA6B5A" w:rsidRDefault="00FA6B5A" w:rsidP="00FA6B5A">
      <w:pPr>
        <w:pStyle w:val="Heading3"/>
        <w:rPr>
          <w:rFonts w:ascii="Calibri" w:hAnsi="Calibri"/>
        </w:rPr>
      </w:pPr>
      <w:bookmarkStart w:id="19" w:name="_Toc251173219"/>
      <w:bookmarkStart w:id="20" w:name="_Toc251173288"/>
      <w:bookmarkStart w:id="21" w:name="_Toc251173396"/>
      <w:bookmarkStart w:id="22" w:name="_Toc251220556"/>
      <w:bookmarkStart w:id="23" w:name="_Toc251220621"/>
      <w:r w:rsidRPr="00FA6B5A">
        <w:rPr>
          <w:rFonts w:ascii="Calibri" w:hAnsi="Calibri"/>
        </w:rPr>
        <w:t>3.2. Pretirano najemanje kreditov in neusklajeno kreditiranje</w:t>
      </w:r>
      <w:bookmarkEnd w:id="19"/>
      <w:bookmarkEnd w:id="20"/>
      <w:bookmarkEnd w:id="21"/>
      <w:bookmarkEnd w:id="22"/>
      <w:bookmarkEnd w:id="23"/>
    </w:p>
    <w:p w:rsidR="00FA6B5A" w:rsidRPr="00FA6B5A" w:rsidRDefault="00FA6B5A" w:rsidP="00FA6B5A">
      <w:pPr>
        <w:pStyle w:val="Heading3"/>
        <w:rPr>
          <w:rFonts w:ascii="Calibri" w:hAnsi="Calibri"/>
        </w:rPr>
      </w:pPr>
      <w:bookmarkStart w:id="24" w:name="_Toc251173220"/>
      <w:bookmarkStart w:id="25" w:name="_Toc251173289"/>
      <w:bookmarkStart w:id="26" w:name="_Toc251173397"/>
      <w:bookmarkStart w:id="27" w:name="_Toc251220557"/>
      <w:bookmarkStart w:id="28" w:name="_Toc251220622"/>
      <w:r w:rsidRPr="00FA6B5A">
        <w:rPr>
          <w:rFonts w:ascii="Calibri" w:hAnsi="Calibri"/>
        </w:rPr>
        <w:t>3.3. špekulativna vladanja v konjukturne veje industrije (tiste panoge, ki trenutno najvišje kotirajo v državi)</w:t>
      </w:r>
      <w:bookmarkEnd w:id="24"/>
      <w:bookmarkEnd w:id="25"/>
      <w:bookmarkEnd w:id="26"/>
      <w:bookmarkEnd w:id="27"/>
      <w:bookmarkEnd w:id="28"/>
    </w:p>
    <w:p w:rsidR="00FA6B5A" w:rsidRDefault="00FA6B5A" w:rsidP="00FA6B5A">
      <w:pPr>
        <w:pStyle w:val="Heading3"/>
        <w:rPr>
          <w:rFonts w:ascii="Calibri" w:hAnsi="Calibri"/>
        </w:rPr>
      </w:pPr>
      <w:bookmarkStart w:id="29" w:name="_Toc251173221"/>
      <w:bookmarkStart w:id="30" w:name="_Toc251173290"/>
      <w:bookmarkStart w:id="31" w:name="_Toc251173398"/>
      <w:bookmarkStart w:id="32" w:name="_Toc251220558"/>
      <w:bookmarkStart w:id="33" w:name="_Toc251220623"/>
      <w:r w:rsidRPr="00FA6B5A">
        <w:rPr>
          <w:rFonts w:ascii="Calibri" w:hAnsi="Calibri"/>
        </w:rPr>
        <w:t>3.4. nenadzorovano izdajanje vrednostnih papirjev ter državnih obveznic (izgube 30 milijard $ delnic)</w:t>
      </w:r>
      <w:bookmarkEnd w:id="29"/>
      <w:bookmarkEnd w:id="30"/>
      <w:bookmarkEnd w:id="31"/>
      <w:bookmarkEnd w:id="32"/>
      <w:bookmarkEnd w:id="33"/>
    </w:p>
    <w:p w:rsidR="00FA6B5A" w:rsidRDefault="00FA6B5A" w:rsidP="00FA6B5A"/>
    <w:p w:rsidR="00FA6B5A" w:rsidRPr="00FA6B5A" w:rsidRDefault="00FA6B5A" w:rsidP="00FA6B5A">
      <w:pPr>
        <w:pStyle w:val="Heading2"/>
        <w:rPr>
          <w:rFonts w:ascii="Calibri" w:hAnsi="Calibri"/>
          <w:i w:val="0"/>
        </w:rPr>
      </w:pPr>
      <w:bookmarkStart w:id="34" w:name="_Toc251173222"/>
      <w:bookmarkStart w:id="35" w:name="_Toc251173291"/>
      <w:bookmarkStart w:id="36" w:name="_Toc251173399"/>
      <w:bookmarkStart w:id="37" w:name="_Toc251220559"/>
      <w:bookmarkStart w:id="38" w:name="_Toc251220624"/>
      <w:r w:rsidRPr="00FA6B5A">
        <w:rPr>
          <w:rFonts w:ascii="Calibri" w:hAnsi="Calibri"/>
          <w:i w:val="0"/>
        </w:rPr>
        <w:t>4.POSLEDICE KRIZE</w:t>
      </w:r>
      <w:bookmarkEnd w:id="34"/>
      <w:bookmarkEnd w:id="35"/>
      <w:bookmarkEnd w:id="36"/>
      <w:bookmarkEnd w:id="37"/>
      <w:bookmarkEnd w:id="38"/>
    </w:p>
    <w:p w:rsidR="00FA6B5A" w:rsidRDefault="00FA6B5A" w:rsidP="00FA6B5A">
      <w:pPr>
        <w:pStyle w:val="Heading3"/>
      </w:pPr>
      <w:r>
        <w:t xml:space="preserve"> </w:t>
      </w:r>
      <w:bookmarkStart w:id="39" w:name="_Toc251173223"/>
      <w:bookmarkStart w:id="40" w:name="_Toc251173292"/>
      <w:bookmarkStart w:id="41" w:name="_Toc251173400"/>
      <w:bookmarkStart w:id="42" w:name="_Toc251220560"/>
      <w:bookmarkStart w:id="43" w:name="_Toc251220625"/>
      <w:r>
        <w:t>4.1. Velika brezposelnost</w:t>
      </w:r>
      <w:bookmarkEnd w:id="39"/>
      <w:bookmarkEnd w:id="40"/>
      <w:bookmarkEnd w:id="41"/>
      <w:bookmarkEnd w:id="42"/>
      <w:bookmarkEnd w:id="43"/>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V tridesetih letih 20 stoletja je bila povprečna brezposelnost vseskozi nad 8 milijonov, v letu 1933 je bil brez dela vsak četrti delavec, torej je brezposelnost znašala visokih 25 odstotkov.</w:t>
      </w:r>
    </w:p>
    <w:p w:rsidR="00FA6B5A" w:rsidRDefault="00FA6B5A" w:rsidP="00FA6B5A"/>
    <w:p w:rsidR="00FA6B5A" w:rsidRDefault="00FA6B5A" w:rsidP="00FA6B5A">
      <w:pPr>
        <w:pStyle w:val="Heading3"/>
      </w:pPr>
      <w:bookmarkStart w:id="44" w:name="_Toc251173224"/>
      <w:bookmarkStart w:id="45" w:name="_Toc251173293"/>
      <w:bookmarkStart w:id="46" w:name="_Toc251173401"/>
      <w:bookmarkStart w:id="47" w:name="_Toc251220561"/>
      <w:bookmarkStart w:id="48" w:name="_Toc251220626"/>
      <w:r>
        <w:t>4.2. Večji prepad med bogatim in srednjim slojem</w:t>
      </w:r>
      <w:bookmarkEnd w:id="44"/>
      <w:bookmarkEnd w:id="45"/>
      <w:bookmarkEnd w:id="46"/>
      <w:bookmarkEnd w:id="47"/>
      <w:bookmarkEnd w:id="48"/>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Produktivnost se je zaradi</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zmanjšanje delovne sile povečala za 32 odstotkov, medtem ko so se mezde dvignile le za 8</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odstotkov, kar je pomenilo le četrtino glede na rast proizvodnje. Ker so produkcijski stroški</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hitro padali, mezde pa so se le počasi zviševale, so se zato ob nespremenjenih cenah izredno</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povečali dobič</w:t>
      </w:r>
      <w:r>
        <w:rPr>
          <w:rFonts w:eastAsia="Times New Roman" w:cs="TimesNewRoman"/>
          <w:noProof w:val="0"/>
          <w:lang w:val="en-US"/>
        </w:rPr>
        <w:t xml:space="preserve">ki korporacij. </w:t>
      </w:r>
      <w:r w:rsidRPr="00FA6B5A">
        <w:rPr>
          <w:rFonts w:eastAsia="Times New Roman" w:cs="TimesNewRoman"/>
          <w:noProof w:val="0"/>
          <w:lang w:val="en-US"/>
        </w:rPr>
        <w:t>K večjemu prepadu med bogatim in srednjim slojem ljudi je v veliki meri pripomogla tudi</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vlada. Administracija predsednika Coolidgea in njegova konzervativna vlada sta podpirala</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podjetništvo - rezultat tega je bilo bogatenje tistih, ki so veliko investirali. Kot primer</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navajam tako imenovani Revenue Act iz leta 1926, v katerem je prišlo do občutnega</w:t>
      </w:r>
    </w:p>
    <w:p w:rsidR="00FA6B5A" w:rsidRPr="00FA6B5A" w:rsidRDefault="00FA6B5A" w:rsidP="00FA6B5A">
      <w:r w:rsidRPr="00FA6B5A">
        <w:rPr>
          <w:rFonts w:eastAsia="Times New Roman" w:cs="TimesNewRoman"/>
          <w:noProof w:val="0"/>
          <w:lang w:val="en-US"/>
        </w:rPr>
        <w:t>zmanjšanja davkov.</w:t>
      </w:r>
    </w:p>
    <w:p w:rsidR="00DF63E8" w:rsidRDefault="00DF63E8" w:rsidP="00FA6B5A">
      <w:pPr>
        <w:pStyle w:val="Heading3"/>
      </w:pPr>
      <w:bookmarkStart w:id="49" w:name="_Toc251173225"/>
      <w:bookmarkStart w:id="50" w:name="_Toc251173294"/>
      <w:bookmarkStart w:id="51" w:name="_Toc251173402"/>
    </w:p>
    <w:p w:rsidR="00FA6B5A" w:rsidRPr="00FA6B5A" w:rsidRDefault="00FA6B5A" w:rsidP="00FA6B5A">
      <w:pPr>
        <w:pStyle w:val="Heading3"/>
      </w:pPr>
      <w:bookmarkStart w:id="52" w:name="_Toc251220562"/>
      <w:bookmarkStart w:id="53" w:name="_Toc251220627"/>
      <w:r>
        <w:t>4.3. P</w:t>
      </w:r>
      <w:r w:rsidRPr="003F00D7">
        <w:t>adec industr</w:t>
      </w:r>
      <w:r>
        <w:t>ijske in kmetijske proizvodnje in</w:t>
      </w:r>
      <w:r w:rsidRPr="003F00D7">
        <w:t xml:space="preserve"> trgovine</w:t>
      </w:r>
      <w:bookmarkEnd w:id="49"/>
      <w:bookmarkEnd w:id="50"/>
      <w:bookmarkEnd w:id="51"/>
      <w:bookmarkEnd w:id="52"/>
      <w:bookmarkEnd w:id="53"/>
    </w:p>
    <w:p w:rsidR="00FA6B5A" w:rsidRPr="00FA6B5A" w:rsidRDefault="00FA6B5A" w:rsidP="00FA6B5A">
      <w:pPr>
        <w:autoSpaceDE w:val="0"/>
        <w:autoSpaceDN w:val="0"/>
        <w:adjustRightInd w:val="0"/>
        <w:spacing w:after="0" w:line="240" w:lineRule="auto"/>
        <w:rPr>
          <w:rFonts w:eastAsia="Times New Roman"/>
          <w:noProof w:val="0"/>
          <w:lang w:val="en-US"/>
        </w:rPr>
      </w:pPr>
      <w:smartTag w:uri="urn:schemas-microsoft-com:office:smarttags" w:element="place">
        <w:r w:rsidRPr="00FA6B5A">
          <w:rPr>
            <w:rFonts w:eastAsia="Times New Roman"/>
            <w:noProof w:val="0"/>
            <w:lang w:val="en-US"/>
          </w:rPr>
          <w:t>Po</w:t>
        </w:r>
      </w:smartTag>
      <w:r w:rsidRPr="00FA6B5A">
        <w:rPr>
          <w:rFonts w:eastAsia="Times New Roman"/>
          <w:noProof w:val="0"/>
          <w:lang w:val="en-US"/>
        </w:rPr>
        <w:t xml:space="preserve"> ekonomski teoriji je gospodarstvo v ravnovesju, če sta celotna ponudba in celotno</w:t>
      </w:r>
    </w:p>
    <w:p w:rsidR="00FA6B5A" w:rsidRPr="00FA6B5A" w:rsidRDefault="00FA6B5A" w:rsidP="00FA6B5A">
      <w:pPr>
        <w:autoSpaceDE w:val="0"/>
        <w:autoSpaceDN w:val="0"/>
        <w:adjustRightInd w:val="0"/>
        <w:spacing w:after="0" w:line="240" w:lineRule="auto"/>
        <w:rPr>
          <w:rFonts w:eastAsia="Times New Roman"/>
          <w:noProof w:val="0"/>
          <w:lang w:val="en-US"/>
        </w:rPr>
      </w:pPr>
      <w:r w:rsidRPr="00FA6B5A">
        <w:rPr>
          <w:rFonts w:eastAsia="Times New Roman"/>
          <w:noProof w:val="0"/>
          <w:lang w:val="en-US"/>
        </w:rPr>
        <w:t>povpraševanje enaka. Vendar je bilo za to obdobje prosperitete značilno, da je bilo ponudbe</w:t>
      </w:r>
    </w:p>
    <w:p w:rsidR="00FA6B5A" w:rsidRPr="00FA6B5A" w:rsidRDefault="00FA6B5A" w:rsidP="00FA6B5A">
      <w:pPr>
        <w:autoSpaceDE w:val="0"/>
        <w:autoSpaceDN w:val="0"/>
        <w:adjustRightInd w:val="0"/>
        <w:spacing w:after="0" w:line="240" w:lineRule="auto"/>
        <w:rPr>
          <w:rFonts w:eastAsia="Times New Roman"/>
          <w:noProof w:val="0"/>
          <w:lang w:val="en-US"/>
        </w:rPr>
      </w:pPr>
      <w:r w:rsidRPr="00FA6B5A">
        <w:rPr>
          <w:rFonts w:eastAsia="Times New Roman"/>
          <w:noProof w:val="0"/>
          <w:lang w:val="en-US"/>
        </w:rPr>
        <w:t>krepko preveč, to pa zato, ker si navadni delavci več potrošnih dobrin niso mogli privoščiti.</w:t>
      </w:r>
    </w:p>
    <w:p w:rsidR="00FA6B5A" w:rsidRPr="00FA6B5A" w:rsidRDefault="00FA6B5A" w:rsidP="00FA6B5A">
      <w:pPr>
        <w:autoSpaceDE w:val="0"/>
        <w:autoSpaceDN w:val="0"/>
        <w:adjustRightInd w:val="0"/>
        <w:spacing w:after="0" w:line="240" w:lineRule="auto"/>
        <w:rPr>
          <w:rFonts w:eastAsia="Times New Roman"/>
          <w:noProof w:val="0"/>
          <w:lang w:val="en-US"/>
        </w:rPr>
      </w:pPr>
      <w:r w:rsidRPr="00FA6B5A">
        <w:rPr>
          <w:rFonts w:eastAsia="Times New Roman"/>
          <w:noProof w:val="0"/>
          <w:lang w:val="en-US"/>
        </w:rPr>
        <w:t>Bogataši pa niso mogli svojih potreb po teh dobrinah povečati za štiridesetkrat. ZDA so se</w:t>
      </w:r>
    </w:p>
    <w:p w:rsidR="00FA6B5A" w:rsidRPr="00FA6B5A" w:rsidRDefault="00FA6B5A" w:rsidP="00FA6B5A">
      <w:pPr>
        <w:autoSpaceDE w:val="0"/>
        <w:autoSpaceDN w:val="0"/>
        <w:adjustRightInd w:val="0"/>
        <w:spacing w:after="0" w:line="240" w:lineRule="auto"/>
        <w:rPr>
          <w:rFonts w:eastAsia="Times New Roman"/>
          <w:noProof w:val="0"/>
          <w:lang w:val="en-US"/>
        </w:rPr>
      </w:pPr>
      <w:r w:rsidRPr="00FA6B5A">
        <w:rPr>
          <w:rFonts w:eastAsia="Times New Roman"/>
          <w:noProof w:val="0"/>
          <w:lang w:val="en-US"/>
        </w:rPr>
        <w:t>lahko zanesle na potrebo bogatih po luksuznih dobrinah in prodajo na kredite, ki so jih</w:t>
      </w:r>
    </w:p>
    <w:p w:rsidR="00FA6B5A" w:rsidRPr="00FA6B5A" w:rsidRDefault="00FA6B5A" w:rsidP="00FA6B5A">
      <w:pPr>
        <w:autoSpaceDE w:val="0"/>
        <w:autoSpaceDN w:val="0"/>
        <w:adjustRightInd w:val="0"/>
        <w:spacing w:after="0" w:line="240" w:lineRule="auto"/>
        <w:rPr>
          <w:rFonts w:eastAsia="Times New Roman"/>
          <w:noProof w:val="0"/>
          <w:lang w:val="en-US"/>
        </w:rPr>
      </w:pPr>
      <w:r w:rsidRPr="00FA6B5A">
        <w:rPr>
          <w:rFonts w:eastAsia="Times New Roman"/>
          <w:noProof w:val="0"/>
          <w:lang w:val="en-US"/>
        </w:rPr>
        <w:t>pridobivali srednji in nižji sloji. Ta strategija pa je le umetno povečala povpraševanje po</w:t>
      </w:r>
    </w:p>
    <w:p w:rsidR="00FA6B5A" w:rsidRPr="00FA6B5A" w:rsidRDefault="00FA6B5A" w:rsidP="00FA6B5A">
      <w:pPr>
        <w:autoSpaceDE w:val="0"/>
        <w:autoSpaceDN w:val="0"/>
        <w:adjustRightInd w:val="0"/>
        <w:spacing w:after="0" w:line="240" w:lineRule="auto"/>
        <w:rPr>
          <w:rFonts w:eastAsia="Times New Roman"/>
          <w:noProof w:val="0"/>
          <w:lang w:val="en-US"/>
        </w:rPr>
      </w:pPr>
      <w:r w:rsidRPr="00FA6B5A">
        <w:rPr>
          <w:rFonts w:eastAsia="Times New Roman"/>
          <w:noProof w:val="0"/>
          <w:lang w:val="en-US"/>
        </w:rPr>
        <w:t>dobrinah, ki si jih ljudje sicer ne bi mogli privoščiti. In ker so ljudje vsak mesec bili prisiljeni</w:t>
      </w:r>
    </w:p>
    <w:p w:rsidR="00FA6B5A" w:rsidRPr="00FA6B5A" w:rsidRDefault="00FA6B5A" w:rsidP="00FA6B5A">
      <w:pPr>
        <w:autoSpaceDE w:val="0"/>
        <w:autoSpaceDN w:val="0"/>
        <w:adjustRightInd w:val="0"/>
        <w:spacing w:after="0" w:line="240" w:lineRule="auto"/>
        <w:rPr>
          <w:rFonts w:eastAsia="Times New Roman"/>
          <w:noProof w:val="0"/>
          <w:lang w:val="en-US"/>
        </w:rPr>
      </w:pPr>
      <w:r w:rsidRPr="00FA6B5A">
        <w:rPr>
          <w:rFonts w:eastAsia="Times New Roman"/>
          <w:noProof w:val="0"/>
          <w:lang w:val="en-US"/>
        </w:rPr>
        <w:t>plačevati anuitete za dosedaj pridobljene kredite, se je njihova kupna moč še bolj zmanjšala.</w:t>
      </w:r>
    </w:p>
    <w:p w:rsidR="00FA6B5A" w:rsidRPr="00FA6B5A" w:rsidRDefault="00FA6B5A" w:rsidP="00FA6B5A">
      <w:pPr>
        <w:rPr>
          <w:rFonts w:eastAsia="Times New Roman"/>
          <w:noProof w:val="0"/>
          <w:lang w:val="en-US"/>
        </w:rPr>
      </w:pPr>
      <w:r w:rsidRPr="00FA6B5A">
        <w:rPr>
          <w:rFonts w:eastAsia="Times New Roman"/>
          <w:noProof w:val="0"/>
          <w:lang w:val="en-US"/>
        </w:rPr>
        <w:t>Kar pomeni, da je bilo v končni fazi povpraševanja še manj.</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Redistribucija dohodka ni bila vezana le na različne sloje ljudi, pač pa tudi na različna</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področja gospodarstva. Tako sta v 20. letih skokovito naraščali avtomobilska industrija in</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gradbeništvo, v nasprotju s tema pa so stagnirale nekatere vrste težke industrije in še posebej</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kmetijstvo. Tega je država po prvi svetovni vojni popolnoma zanemarila. V času vojne so</w:t>
      </w:r>
    </w:p>
    <w:p w:rsidR="00FA6B5A" w:rsidRPr="00FA6B5A" w:rsidRDefault="00FA6B5A" w:rsidP="00FA6B5A">
      <w:pPr>
        <w:autoSpaceDE w:val="0"/>
        <w:autoSpaceDN w:val="0"/>
        <w:adjustRightInd w:val="0"/>
        <w:spacing w:after="0" w:line="240" w:lineRule="auto"/>
        <w:rPr>
          <w:rFonts w:eastAsia="Times New Roman" w:cs="TimesNewRoman"/>
          <w:noProof w:val="0"/>
          <w:lang w:val="en-US"/>
        </w:rPr>
      </w:pPr>
      <w:r w:rsidRPr="00FA6B5A">
        <w:rPr>
          <w:rFonts w:eastAsia="Times New Roman" w:cs="TimesNewRoman"/>
          <w:noProof w:val="0"/>
          <w:lang w:val="en-US"/>
        </w:rPr>
        <w:t>kmetje pravzaprav vse svoje pridelke izvažali v Evropo, po vojni pa so si tam dovolj</w:t>
      </w:r>
    </w:p>
    <w:p w:rsidR="00FA6B5A" w:rsidRPr="00FA6B5A" w:rsidRDefault="00FA6B5A" w:rsidP="00FA6B5A">
      <w:pPr>
        <w:rPr>
          <w:rFonts w:eastAsia="Times New Roman"/>
          <w:noProof w:val="0"/>
          <w:lang w:val="en-US"/>
        </w:rPr>
      </w:pPr>
      <w:r w:rsidRPr="00FA6B5A">
        <w:rPr>
          <w:rFonts w:eastAsia="Times New Roman" w:cs="TimesNewRoman"/>
          <w:noProof w:val="0"/>
          <w:lang w:val="en-US"/>
        </w:rPr>
        <w:t>opomogli, da jim uvoz iz ZDA ni bil več potreben.</w:t>
      </w:r>
    </w:p>
    <w:p w:rsidR="00FA6B5A" w:rsidRDefault="00FA6B5A" w:rsidP="00FA6B5A">
      <w:pPr>
        <w:pStyle w:val="Heading3"/>
        <w:rPr>
          <w:lang w:val="en-US"/>
        </w:rPr>
      </w:pPr>
      <w:bookmarkStart w:id="54" w:name="_Toc251173226"/>
      <w:bookmarkStart w:id="55" w:name="_Toc251173295"/>
      <w:bookmarkStart w:id="56" w:name="_Toc251173403"/>
      <w:bookmarkStart w:id="57" w:name="_Toc251220563"/>
      <w:bookmarkStart w:id="58" w:name="_Toc251220628"/>
      <w:r>
        <w:rPr>
          <w:lang w:val="en-US"/>
        </w:rPr>
        <w:t>4.4. Zapiranje bank</w:t>
      </w:r>
      <w:bookmarkEnd w:id="54"/>
      <w:bookmarkEnd w:id="55"/>
      <w:bookmarkEnd w:id="56"/>
      <w:bookmarkEnd w:id="57"/>
      <w:bookmarkEnd w:id="58"/>
    </w:p>
    <w:p w:rsidR="00FA6B5A" w:rsidRPr="00FA6B5A" w:rsidRDefault="00FA6B5A" w:rsidP="00FA6B5A">
      <w:pPr>
        <w:spacing w:after="0" w:line="240" w:lineRule="auto"/>
        <w:jc w:val="both"/>
        <w:rPr>
          <w:rFonts w:cs="Arial"/>
        </w:rPr>
      </w:pPr>
      <w:r>
        <w:rPr>
          <w:rFonts w:cs="Arial"/>
        </w:rPr>
        <w:t>V</w:t>
      </w:r>
      <w:r w:rsidRPr="00FA6B5A">
        <w:rPr>
          <w:rFonts w:cs="Arial"/>
        </w:rPr>
        <w:t xml:space="preserve"> ZDA je bankrotiralo 4300 bank</w:t>
      </w:r>
      <w:r>
        <w:rPr>
          <w:rFonts w:cs="Arial"/>
        </w:rPr>
        <w:t>.</w:t>
      </w:r>
    </w:p>
    <w:p w:rsidR="00FA6B5A" w:rsidRDefault="00FA6B5A" w:rsidP="00FA6B5A"/>
    <w:p w:rsidR="00FA6B5A" w:rsidRPr="00FA6B5A" w:rsidRDefault="00FA6B5A" w:rsidP="00FA6B5A">
      <w:pPr>
        <w:pStyle w:val="Heading2"/>
        <w:rPr>
          <w:rFonts w:ascii="Calibri" w:hAnsi="Calibri"/>
          <w:i w:val="0"/>
        </w:rPr>
      </w:pPr>
      <w:bookmarkStart w:id="59" w:name="_Toc251173227"/>
      <w:bookmarkStart w:id="60" w:name="_Toc251173296"/>
      <w:bookmarkStart w:id="61" w:name="_Toc251173404"/>
      <w:bookmarkStart w:id="62" w:name="_Toc251220564"/>
      <w:bookmarkStart w:id="63" w:name="_Toc251220629"/>
      <w:r w:rsidRPr="00FA6B5A">
        <w:rPr>
          <w:rFonts w:ascii="Calibri" w:hAnsi="Calibri"/>
          <w:i w:val="0"/>
        </w:rPr>
        <w:t>5. REŠEVANJE KRIZE</w:t>
      </w:r>
      <w:bookmarkEnd w:id="59"/>
      <w:bookmarkEnd w:id="60"/>
      <w:bookmarkEnd w:id="61"/>
      <w:bookmarkEnd w:id="62"/>
      <w:bookmarkEnd w:id="63"/>
    </w:p>
    <w:p w:rsidR="00FA6B5A" w:rsidRPr="00FA6B5A" w:rsidRDefault="00FA6B5A" w:rsidP="00FA6B5A">
      <w:pPr>
        <w:spacing w:after="0" w:line="240" w:lineRule="auto"/>
      </w:pPr>
      <w:r w:rsidRPr="00FA6B5A">
        <w:t>iz ZDA se je kriza širila po vsem svetu, zajela ni Sovjetske zveze, ker se razvije plansko oz. načrtno gospodarstvo s petletkami. Zato so začeli ponovno oživljati gospodarstvo. Reševanje krize v ZDA je povezani s Franklinom Delano Roosveltom, ter njegovo politiko »New deal«, v kateri je izvedel obsežen program gospodarskih in družbenih reform :</w:t>
      </w:r>
    </w:p>
    <w:p w:rsidR="00FA6B5A" w:rsidRPr="00F10B17" w:rsidRDefault="00FA6B5A" w:rsidP="00FA6B5A">
      <w:pPr>
        <w:numPr>
          <w:ilvl w:val="1"/>
          <w:numId w:val="17"/>
        </w:numPr>
        <w:spacing w:after="0" w:line="240" w:lineRule="auto"/>
      </w:pPr>
      <w:r w:rsidRPr="00F10B17">
        <w:t>s selektivnimi krediti in drugimi ukrepi se je začela preobrazba kmetijstva</w:t>
      </w:r>
    </w:p>
    <w:p w:rsidR="00FA6B5A" w:rsidRPr="00F10B17" w:rsidRDefault="00FA6B5A" w:rsidP="00FA6B5A">
      <w:pPr>
        <w:numPr>
          <w:ilvl w:val="1"/>
          <w:numId w:val="17"/>
        </w:numPr>
        <w:spacing w:after="0" w:line="240" w:lineRule="auto"/>
      </w:pPr>
      <w:r w:rsidRPr="00F10B17">
        <w:t xml:space="preserve">velika javna dela so zmanjševala množično brezposelnost </w:t>
      </w:r>
    </w:p>
    <w:p w:rsidR="00FA6B5A" w:rsidRPr="00F10B17" w:rsidRDefault="00FA6B5A" w:rsidP="00FA6B5A">
      <w:pPr>
        <w:numPr>
          <w:ilvl w:val="1"/>
          <w:numId w:val="17"/>
        </w:numPr>
        <w:spacing w:after="0" w:line="240" w:lineRule="auto"/>
      </w:pPr>
      <w:r w:rsidRPr="00F10B17">
        <w:t>z zakonodajo so urejali delovna razmerja in uvedli minimalno socialno zakonodajo</w:t>
      </w:r>
    </w:p>
    <w:p w:rsidR="00FA6B5A" w:rsidRDefault="00FA6B5A" w:rsidP="00FA6B5A">
      <w:pPr>
        <w:numPr>
          <w:ilvl w:val="1"/>
          <w:numId w:val="17"/>
        </w:numPr>
        <w:spacing w:after="0" w:line="240" w:lineRule="auto"/>
      </w:pPr>
      <w:r w:rsidRPr="00F10B17">
        <w:t>sindikati so dobili pravico do pogajanj s delodajalci</w:t>
      </w:r>
    </w:p>
    <w:p w:rsidR="00FA6B5A" w:rsidRDefault="00FA6B5A" w:rsidP="00FA6B5A">
      <w:pPr>
        <w:numPr>
          <w:ilvl w:val="1"/>
          <w:numId w:val="17"/>
        </w:numPr>
        <w:spacing w:after="0" w:line="240" w:lineRule="auto"/>
      </w:pPr>
      <w:r>
        <w:t xml:space="preserve"> </w:t>
      </w:r>
      <w:r w:rsidRPr="00F10B17">
        <w:t>s protimonopolnimi zakoni je vlada skušala doseči nadzor nad največjimi koncerni in korporacijami</w:t>
      </w:r>
    </w:p>
    <w:p w:rsidR="00FA6B5A" w:rsidRDefault="00FA6B5A" w:rsidP="00FA6B5A">
      <w:pPr>
        <w:pStyle w:val="slog2"/>
        <w:ind w:firstLine="0"/>
      </w:pPr>
    </w:p>
    <w:p w:rsidR="00FA6B5A" w:rsidRPr="00FA6B5A" w:rsidRDefault="00FA6B5A" w:rsidP="00FA6B5A">
      <w:pPr>
        <w:pStyle w:val="slog2"/>
        <w:ind w:firstLine="0"/>
        <w:rPr>
          <w:rFonts w:ascii="Calibri" w:hAnsi="Calibri"/>
        </w:rPr>
      </w:pPr>
      <w:r w:rsidRPr="00FA6B5A">
        <w:rPr>
          <w:rFonts w:ascii="Calibri" w:hAnsi="Calibri"/>
        </w:rPr>
        <w:t>Tako si je gospodarstvo v letih 1934-37 polagoma opomoglo. Države so povečevale investicije v oboroževalno industrijo, kmalu pa je izdelava orožja postala najpomembnejša dejavnost.</w:t>
      </w:r>
    </w:p>
    <w:p w:rsidR="00FA6B5A" w:rsidRPr="00FA6B5A" w:rsidRDefault="00FA6B5A" w:rsidP="00FA6B5A"/>
    <w:p w:rsidR="00FA6B5A" w:rsidRPr="00FA6B5A" w:rsidRDefault="00FA6B5A" w:rsidP="00FA6B5A"/>
    <w:p w:rsidR="00FA6B5A" w:rsidRDefault="00FA6B5A" w:rsidP="00394F46">
      <w:pPr>
        <w:rPr>
          <w:rFonts w:ascii="Times New Roman" w:eastAsia="Times New Roman" w:hAnsi="Times New Roman"/>
          <w:b/>
          <w:bCs/>
          <w:noProof w:val="0"/>
          <w:color w:val="000000"/>
          <w:sz w:val="28"/>
          <w:szCs w:val="28"/>
          <w:lang w:val="en-US"/>
        </w:rPr>
      </w:pPr>
    </w:p>
    <w:p w:rsidR="00DF63E8" w:rsidRDefault="00DF63E8" w:rsidP="00394F46">
      <w:pPr>
        <w:rPr>
          <w:rFonts w:ascii="Times New Roman" w:eastAsia="Times New Roman" w:hAnsi="Times New Roman"/>
          <w:b/>
          <w:bCs/>
          <w:noProof w:val="0"/>
          <w:color w:val="000000"/>
          <w:sz w:val="28"/>
          <w:szCs w:val="28"/>
          <w:lang w:val="en-US"/>
        </w:rPr>
      </w:pPr>
    </w:p>
    <w:p w:rsidR="00FA6B5A" w:rsidRPr="00DF63E8" w:rsidRDefault="00FA6B5A" w:rsidP="00DF63E8">
      <w:pPr>
        <w:pStyle w:val="Heading2"/>
        <w:rPr>
          <w:i w:val="0"/>
          <w:lang w:val="en-US"/>
        </w:rPr>
      </w:pPr>
      <w:bookmarkStart w:id="64" w:name="_Toc251220565"/>
      <w:bookmarkStart w:id="65" w:name="_Toc251220630"/>
      <w:r w:rsidRPr="00DF63E8">
        <w:rPr>
          <w:i w:val="0"/>
          <w:lang w:val="en-US"/>
        </w:rPr>
        <w:t>6. Gospodarska kriza 2008</w:t>
      </w:r>
      <w:bookmarkEnd w:id="64"/>
      <w:bookmarkEnd w:id="65"/>
    </w:p>
    <w:p w:rsidR="00FA6B5A" w:rsidRDefault="00FA6B5A" w:rsidP="00394F46">
      <w:r>
        <w:t>Trenutna kriza je "zgodovinska prelomnica, o kateri bodo kasneje pripovedovali v zgodovinskih knjigah", je dejal nemški notranji minister. "To je bil tudi primer 11. septembra 2001," je, sklicujoč se na teroristične napade v ZDA, dodal Schäuble.</w:t>
      </w:r>
    </w:p>
    <w:p w:rsidR="00FA6B5A" w:rsidRDefault="00FA6B5A" w:rsidP="00FA6B5A">
      <w:pPr>
        <w:pStyle w:val="NormalWeb"/>
        <w:rPr>
          <w:rFonts w:ascii="Calibri" w:hAnsi="Calibri"/>
          <w:sz w:val="22"/>
          <w:szCs w:val="22"/>
        </w:rPr>
      </w:pPr>
      <w:r w:rsidRPr="00FA6B5A">
        <w:rPr>
          <w:rFonts w:ascii="Calibri" w:hAnsi="Calibri"/>
          <w:sz w:val="22"/>
          <w:szCs w:val="22"/>
        </w:rPr>
        <w:t xml:space="preserve">Ko je leta 2008 na svetovnih finančnih trgih prišlo do krize, je EU takoj sprejela </w:t>
      </w:r>
      <w:hyperlink r:id="rId10" w:tgtFrame="_evropa_external" w:history="1">
        <w:r w:rsidRPr="00FA6B5A">
          <w:rPr>
            <w:rStyle w:val="Hyperlink"/>
            <w:rFonts w:ascii="Calibri" w:hAnsi="Calibri"/>
            <w:color w:val="auto"/>
            <w:sz w:val="22"/>
            <w:szCs w:val="22"/>
            <w:u w:val="none"/>
          </w:rPr>
          <w:t>evropski načrt za oživitev gospodarstva in o odzivih na finančno krizo</w:t>
        </w:r>
      </w:hyperlink>
      <w:r w:rsidRPr="00FA6B5A">
        <w:rPr>
          <w:rFonts w:ascii="Calibri" w:hAnsi="Calibri"/>
          <w:sz w:val="22"/>
          <w:szCs w:val="22"/>
        </w:rPr>
        <w:t xml:space="preserve">. Kot najpomembnejši cilj si je zadala obnovitev zaupanja na finančnih trgih in omejitev posledic finančne krize v gospodarstvu. Oblikovala je niz ukrepov v podporo aktivnostim držav članic. Naloga vsake države članice je, da pripravi </w:t>
      </w:r>
      <w:hyperlink r:id="rId11" w:tgtFrame="_evropa_external" w:history="1">
        <w:r w:rsidRPr="00FA6B5A">
          <w:rPr>
            <w:rStyle w:val="Hyperlink"/>
            <w:rFonts w:ascii="Calibri" w:hAnsi="Calibri"/>
            <w:color w:val="auto"/>
            <w:sz w:val="22"/>
            <w:szCs w:val="22"/>
            <w:u w:val="none"/>
          </w:rPr>
          <w:t>nacionalni načrt za odziv na finančno krizo in oživitev gospodarstva.</w:t>
        </w:r>
      </w:hyperlink>
      <w:r w:rsidRPr="00FA6B5A">
        <w:rPr>
          <w:rFonts w:ascii="Calibri" w:hAnsi="Calibri"/>
          <w:sz w:val="22"/>
          <w:szCs w:val="22"/>
        </w:rPr>
        <w:t xml:space="preserve"> Ukrepi za finančni sektor, ki so predvsem kratkoročne narave, pa ne smejo ogrožati oziroma morajo biti usklajeni s sprejetimi dolgoročnimi cilji in strukturnimi reformami. </w:t>
      </w:r>
    </w:p>
    <w:p w:rsidR="00FA6B5A" w:rsidRPr="00FA6B5A" w:rsidRDefault="00FA6B5A" w:rsidP="00FA6B5A">
      <w:pPr>
        <w:pStyle w:val="NormalWeb"/>
        <w:rPr>
          <w:rFonts w:ascii="Calibri" w:hAnsi="Calibri"/>
          <w:sz w:val="22"/>
          <w:szCs w:val="22"/>
        </w:rPr>
      </w:pPr>
      <w:r w:rsidRPr="00FA6B5A">
        <w:rPr>
          <w:rFonts w:ascii="Calibri" w:hAnsi="Calibri"/>
          <w:sz w:val="22"/>
          <w:szCs w:val="22"/>
        </w:rPr>
        <w:t xml:space="preserve">Načrt oživitve gospodarstva, ki je usklajen s podobnimi pobudami, ki jih izvajajo druge ključne gospodarske sile v svetu, je vreden 200 milijard EUR. Ukrepi so usmerjeni k povečanju kupne moči prebivalstva in spodbuditvi rasti in zaposlovanju. Sveženj kratkoročnih in dolgoročnih ukrepov predstavlja 1,5 % bruto družbenega proizvoda EU. Večina tega denarja – 170 milijard EUR – bo zagotovljena iz državnih proračunov, preostalih 30 milijard EU bosta priskrbeli EU in Evropska investicijska banka. </w:t>
      </w:r>
    </w:p>
    <w:p w:rsidR="00FA6B5A" w:rsidRPr="00FA6B5A" w:rsidRDefault="00FA6B5A" w:rsidP="00FA6B5A">
      <w:pPr>
        <w:pStyle w:val="NormalWeb"/>
        <w:rPr>
          <w:rFonts w:ascii="Calibri" w:hAnsi="Calibri"/>
          <w:sz w:val="22"/>
          <w:szCs w:val="22"/>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p w:rsidR="00FA6B5A" w:rsidRDefault="00FA6B5A" w:rsidP="00394F46">
      <w:pPr>
        <w:rPr>
          <w:rFonts w:ascii="Times New Roman" w:eastAsia="Times New Roman" w:hAnsi="Times New Roman"/>
          <w:b/>
          <w:bCs/>
          <w:noProof w:val="0"/>
          <w:color w:val="000000"/>
          <w:sz w:val="28"/>
          <w:szCs w:val="28"/>
          <w:lang w:val="en-US"/>
        </w:rPr>
      </w:pPr>
    </w:p>
    <w:sectPr w:rsidR="00FA6B5A" w:rsidSect="00FA6B5A">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20C" w:rsidRDefault="0038620C">
      <w:r>
        <w:separator/>
      </w:r>
    </w:p>
  </w:endnote>
  <w:endnote w:type="continuationSeparator" w:id="0">
    <w:p w:rsidR="0038620C" w:rsidRDefault="0038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B5A" w:rsidRDefault="00FA6B5A" w:rsidP="00FA6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B5A" w:rsidRDefault="00FA6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B5A" w:rsidRDefault="00FA6B5A" w:rsidP="00FA6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3E8">
      <w:rPr>
        <w:rStyle w:val="PageNumber"/>
      </w:rPr>
      <w:t>2</w:t>
    </w:r>
    <w:r>
      <w:rPr>
        <w:rStyle w:val="PageNumber"/>
      </w:rPr>
      <w:fldChar w:fldCharType="end"/>
    </w:r>
  </w:p>
  <w:p w:rsidR="00FA6B5A" w:rsidRDefault="00FA6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20C" w:rsidRDefault="0038620C">
      <w:r>
        <w:separator/>
      </w:r>
    </w:p>
  </w:footnote>
  <w:footnote w:type="continuationSeparator" w:id="0">
    <w:p w:rsidR="0038620C" w:rsidRDefault="0038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clip_image001"/>
      </v:shape>
    </w:pict>
  </w:numPicBullet>
  <w:numPicBullet w:numPicBulletId="1">
    <w:pict>
      <v:shape id="_x0000_i1120" type="#_x0000_t75" style="width:11.25pt;height:11.25pt" o:bullet="t">
        <v:imagedata r:id="rId2" o:title="clip_image002"/>
      </v:shape>
    </w:pict>
  </w:numPicBullet>
  <w:abstractNum w:abstractNumId="0" w15:restartNumberingAfterBreak="0">
    <w:nsid w:val="FFFFFF7C"/>
    <w:multiLevelType w:val="singleLevel"/>
    <w:tmpl w:val="960AA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C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3CC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14A3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C869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4CF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AE9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CB1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A830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2F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0DF2"/>
    <w:multiLevelType w:val="multilevel"/>
    <w:tmpl w:val="D5B668D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445249"/>
    <w:multiLevelType w:val="hybridMultilevel"/>
    <w:tmpl w:val="13B8FFD2"/>
    <w:lvl w:ilvl="0" w:tplc="E1089BF2">
      <w:start w:val="1"/>
      <w:numFmt w:val="bullet"/>
      <w:lvlText w:val="-"/>
      <w:lvlJc w:val="left"/>
      <w:pPr>
        <w:tabs>
          <w:tab w:val="num" w:pos="720"/>
        </w:tabs>
        <w:ind w:left="720" w:hanging="360"/>
      </w:pPr>
      <w:rPr>
        <w:rFonts w:ascii="Arial Narrow" w:eastAsia="Times New Roman" w:hAnsi="Arial Narrow" w:cs="Times New Roman"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118458C"/>
    <w:multiLevelType w:val="multilevel"/>
    <w:tmpl w:val="2A541F16"/>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ascii="Calibri" w:hAnsi="Calibri" w:cs="Times New Roman" w:hint="default"/>
        <w:sz w:val="22"/>
      </w:rPr>
    </w:lvl>
    <w:lvl w:ilvl="2">
      <w:start w:val="1"/>
      <w:numFmt w:val="decimal"/>
      <w:isLgl/>
      <w:lvlText w:val="%1.%2.%3."/>
      <w:lvlJc w:val="left"/>
      <w:pPr>
        <w:tabs>
          <w:tab w:val="num" w:pos="1080"/>
        </w:tabs>
        <w:ind w:left="1080" w:hanging="720"/>
      </w:pPr>
      <w:rPr>
        <w:rFonts w:ascii="Calibri" w:hAnsi="Calibri" w:cs="Times New Roman" w:hint="default"/>
        <w:sz w:val="22"/>
      </w:rPr>
    </w:lvl>
    <w:lvl w:ilvl="3">
      <w:start w:val="1"/>
      <w:numFmt w:val="decimal"/>
      <w:isLgl/>
      <w:lvlText w:val="%1.%2.%3.%4."/>
      <w:lvlJc w:val="left"/>
      <w:pPr>
        <w:tabs>
          <w:tab w:val="num" w:pos="1080"/>
        </w:tabs>
        <w:ind w:left="1080" w:hanging="720"/>
      </w:pPr>
      <w:rPr>
        <w:rFonts w:ascii="Calibri" w:hAnsi="Calibri" w:cs="Times New Roman" w:hint="default"/>
        <w:sz w:val="22"/>
      </w:rPr>
    </w:lvl>
    <w:lvl w:ilvl="4">
      <w:start w:val="1"/>
      <w:numFmt w:val="decimal"/>
      <w:isLgl/>
      <w:lvlText w:val="%1.%2.%3.%4.%5."/>
      <w:lvlJc w:val="left"/>
      <w:pPr>
        <w:tabs>
          <w:tab w:val="num" w:pos="1080"/>
        </w:tabs>
        <w:ind w:left="1080" w:hanging="720"/>
      </w:pPr>
      <w:rPr>
        <w:rFonts w:ascii="Calibri" w:hAnsi="Calibri" w:cs="Times New Roman" w:hint="default"/>
        <w:sz w:val="22"/>
      </w:rPr>
    </w:lvl>
    <w:lvl w:ilvl="5">
      <w:start w:val="1"/>
      <w:numFmt w:val="decimal"/>
      <w:isLgl/>
      <w:lvlText w:val="%1.%2.%3.%4.%5.%6."/>
      <w:lvlJc w:val="left"/>
      <w:pPr>
        <w:tabs>
          <w:tab w:val="num" w:pos="1440"/>
        </w:tabs>
        <w:ind w:left="1440" w:hanging="1080"/>
      </w:pPr>
      <w:rPr>
        <w:rFonts w:ascii="Calibri" w:hAnsi="Calibri" w:cs="Times New Roman" w:hint="default"/>
        <w:sz w:val="22"/>
      </w:rPr>
    </w:lvl>
    <w:lvl w:ilvl="6">
      <w:start w:val="1"/>
      <w:numFmt w:val="decimal"/>
      <w:isLgl/>
      <w:lvlText w:val="%1.%2.%3.%4.%5.%6.%7."/>
      <w:lvlJc w:val="left"/>
      <w:pPr>
        <w:tabs>
          <w:tab w:val="num" w:pos="1440"/>
        </w:tabs>
        <w:ind w:left="1440" w:hanging="1080"/>
      </w:pPr>
      <w:rPr>
        <w:rFonts w:ascii="Calibri" w:hAnsi="Calibri" w:cs="Times New Roman" w:hint="default"/>
        <w:sz w:val="22"/>
      </w:rPr>
    </w:lvl>
    <w:lvl w:ilvl="7">
      <w:start w:val="1"/>
      <w:numFmt w:val="decimal"/>
      <w:isLgl/>
      <w:lvlText w:val="%1.%2.%3.%4.%5.%6.%7.%8."/>
      <w:lvlJc w:val="left"/>
      <w:pPr>
        <w:tabs>
          <w:tab w:val="num" w:pos="1800"/>
        </w:tabs>
        <w:ind w:left="1800" w:hanging="1440"/>
      </w:pPr>
      <w:rPr>
        <w:rFonts w:ascii="Calibri" w:hAnsi="Calibri" w:cs="Times New Roman" w:hint="default"/>
        <w:sz w:val="22"/>
      </w:rPr>
    </w:lvl>
    <w:lvl w:ilvl="8">
      <w:start w:val="1"/>
      <w:numFmt w:val="decimal"/>
      <w:isLgl/>
      <w:lvlText w:val="%1.%2.%3.%4.%5.%6.%7.%8.%9."/>
      <w:lvlJc w:val="left"/>
      <w:pPr>
        <w:tabs>
          <w:tab w:val="num" w:pos="1800"/>
        </w:tabs>
        <w:ind w:left="1800" w:hanging="1440"/>
      </w:pPr>
      <w:rPr>
        <w:rFonts w:ascii="Calibri" w:hAnsi="Calibri" w:cs="Times New Roman" w:hint="default"/>
        <w:sz w:val="22"/>
      </w:rPr>
    </w:lvl>
  </w:abstractNum>
  <w:abstractNum w:abstractNumId="13" w15:restartNumberingAfterBreak="0">
    <w:nsid w:val="249A6CC9"/>
    <w:multiLevelType w:val="hybridMultilevel"/>
    <w:tmpl w:val="969458DE"/>
    <w:lvl w:ilvl="0" w:tplc="5F301306">
      <w:start w:val="1"/>
      <w:numFmt w:val="bullet"/>
      <w:lvlText w:val=""/>
      <w:lvlPicBulletId w:val="0"/>
      <w:lvlJc w:val="left"/>
      <w:pPr>
        <w:tabs>
          <w:tab w:val="num" w:pos="643"/>
        </w:tabs>
        <w:ind w:left="643" w:hanging="360"/>
      </w:pPr>
      <w:rPr>
        <w:rFonts w:ascii="Symbol" w:hAnsi="Symbol" w:hint="default"/>
        <w:color w:val="auto"/>
      </w:rPr>
    </w:lvl>
    <w:lvl w:ilvl="1" w:tplc="44A6FC54">
      <w:start w:val="1"/>
      <w:numFmt w:val="bullet"/>
      <w:lvlText w:val=""/>
      <w:lvlPicBulletId w:val="1"/>
      <w:lvlJc w:val="left"/>
      <w:pPr>
        <w:tabs>
          <w:tab w:val="num" w:pos="1363"/>
        </w:tabs>
        <w:ind w:left="1363" w:hanging="284"/>
      </w:pPr>
      <w:rPr>
        <w:rFonts w:ascii="Symbol" w:hAnsi="Symbol" w:hint="default"/>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29415E6"/>
    <w:multiLevelType w:val="hybridMultilevel"/>
    <w:tmpl w:val="D5B668D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9545B"/>
    <w:multiLevelType w:val="multilevel"/>
    <w:tmpl w:val="F25C3F92"/>
    <w:lvl w:ilvl="0">
      <w:start w:val="1"/>
      <w:numFmt w:val="decimal"/>
      <w:lvlText w:val="%1"/>
      <w:lvlJc w:val="left"/>
      <w:pPr>
        <w:tabs>
          <w:tab w:val="num" w:pos="360"/>
        </w:tabs>
        <w:ind w:left="360" w:hanging="360"/>
      </w:pPr>
      <w:rPr>
        <w:rFonts w:ascii="TimesNewRoman" w:eastAsia="Times New Roman" w:hAnsi="TimesNewRoman" w:cs="TimesNewRoman" w:hint="default"/>
        <w:sz w:val="24"/>
      </w:rPr>
    </w:lvl>
    <w:lvl w:ilvl="1">
      <w:start w:val="1"/>
      <w:numFmt w:val="decimal"/>
      <w:lvlText w:val="%1.%2"/>
      <w:lvlJc w:val="left"/>
      <w:pPr>
        <w:tabs>
          <w:tab w:val="num" w:pos="360"/>
        </w:tabs>
        <w:ind w:left="360" w:hanging="360"/>
      </w:pPr>
      <w:rPr>
        <w:rFonts w:ascii="TimesNewRoman" w:eastAsia="Times New Roman" w:hAnsi="TimesNewRoman" w:cs="TimesNewRoman" w:hint="default"/>
        <w:sz w:val="24"/>
      </w:rPr>
    </w:lvl>
    <w:lvl w:ilvl="2">
      <w:start w:val="1"/>
      <w:numFmt w:val="decimal"/>
      <w:lvlText w:val="%1.%2.%3"/>
      <w:lvlJc w:val="left"/>
      <w:pPr>
        <w:tabs>
          <w:tab w:val="num" w:pos="1286"/>
        </w:tabs>
        <w:ind w:left="1286" w:hanging="720"/>
      </w:pPr>
      <w:rPr>
        <w:rFonts w:ascii="TimesNewRoman" w:eastAsia="Times New Roman" w:hAnsi="TimesNewRoman" w:cs="TimesNewRoman" w:hint="default"/>
        <w:sz w:val="24"/>
      </w:rPr>
    </w:lvl>
    <w:lvl w:ilvl="3">
      <w:start w:val="1"/>
      <w:numFmt w:val="decimal"/>
      <w:lvlText w:val="%1.%2.%3.%4"/>
      <w:lvlJc w:val="left"/>
      <w:pPr>
        <w:tabs>
          <w:tab w:val="num" w:pos="1569"/>
        </w:tabs>
        <w:ind w:left="1569" w:hanging="720"/>
      </w:pPr>
      <w:rPr>
        <w:rFonts w:ascii="TimesNewRoman" w:eastAsia="Times New Roman" w:hAnsi="TimesNewRoman" w:cs="TimesNewRoman" w:hint="default"/>
        <w:sz w:val="24"/>
      </w:rPr>
    </w:lvl>
    <w:lvl w:ilvl="4">
      <w:start w:val="1"/>
      <w:numFmt w:val="decimal"/>
      <w:lvlText w:val="%1.%2.%3.%4.%5"/>
      <w:lvlJc w:val="left"/>
      <w:pPr>
        <w:tabs>
          <w:tab w:val="num" w:pos="1852"/>
        </w:tabs>
        <w:ind w:left="1852" w:hanging="720"/>
      </w:pPr>
      <w:rPr>
        <w:rFonts w:ascii="TimesNewRoman" w:eastAsia="Times New Roman" w:hAnsi="TimesNewRoman" w:cs="TimesNewRoman" w:hint="default"/>
        <w:sz w:val="24"/>
      </w:rPr>
    </w:lvl>
    <w:lvl w:ilvl="5">
      <w:start w:val="1"/>
      <w:numFmt w:val="decimal"/>
      <w:lvlText w:val="%1.%2.%3.%4.%5.%6"/>
      <w:lvlJc w:val="left"/>
      <w:pPr>
        <w:tabs>
          <w:tab w:val="num" w:pos="2495"/>
        </w:tabs>
        <w:ind w:left="2495" w:hanging="1080"/>
      </w:pPr>
      <w:rPr>
        <w:rFonts w:ascii="TimesNewRoman" w:eastAsia="Times New Roman" w:hAnsi="TimesNewRoman" w:cs="TimesNewRoman" w:hint="default"/>
        <w:sz w:val="24"/>
      </w:rPr>
    </w:lvl>
    <w:lvl w:ilvl="6">
      <w:start w:val="1"/>
      <w:numFmt w:val="decimal"/>
      <w:lvlText w:val="%1.%2.%3.%4.%5.%6.%7"/>
      <w:lvlJc w:val="left"/>
      <w:pPr>
        <w:tabs>
          <w:tab w:val="num" w:pos="2778"/>
        </w:tabs>
        <w:ind w:left="2778" w:hanging="1080"/>
      </w:pPr>
      <w:rPr>
        <w:rFonts w:ascii="TimesNewRoman" w:eastAsia="Times New Roman" w:hAnsi="TimesNewRoman" w:cs="TimesNewRoman" w:hint="default"/>
        <w:sz w:val="24"/>
      </w:rPr>
    </w:lvl>
    <w:lvl w:ilvl="7">
      <w:start w:val="1"/>
      <w:numFmt w:val="decimal"/>
      <w:lvlText w:val="%1.%2.%3.%4.%5.%6.%7.%8"/>
      <w:lvlJc w:val="left"/>
      <w:pPr>
        <w:tabs>
          <w:tab w:val="num" w:pos="3061"/>
        </w:tabs>
        <w:ind w:left="3061" w:hanging="1080"/>
      </w:pPr>
      <w:rPr>
        <w:rFonts w:ascii="TimesNewRoman" w:eastAsia="Times New Roman" w:hAnsi="TimesNewRoman" w:cs="TimesNewRoman" w:hint="default"/>
        <w:sz w:val="24"/>
      </w:rPr>
    </w:lvl>
    <w:lvl w:ilvl="8">
      <w:start w:val="1"/>
      <w:numFmt w:val="decimal"/>
      <w:lvlText w:val="%1.%2.%3.%4.%5.%6.%7.%8.%9"/>
      <w:lvlJc w:val="left"/>
      <w:pPr>
        <w:tabs>
          <w:tab w:val="num" w:pos="3704"/>
        </w:tabs>
        <w:ind w:left="3704" w:hanging="1440"/>
      </w:pPr>
      <w:rPr>
        <w:rFonts w:ascii="TimesNewRoman" w:eastAsia="Times New Roman" w:hAnsi="TimesNewRoman" w:cs="TimesNewRoman" w:hint="default"/>
        <w:sz w:val="24"/>
      </w:rPr>
    </w:lvl>
  </w:abstractNum>
  <w:abstractNum w:abstractNumId="16" w15:restartNumberingAfterBreak="0">
    <w:nsid w:val="739C7E7A"/>
    <w:multiLevelType w:val="hybridMultilevel"/>
    <w:tmpl w:val="D5525D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0"/>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F46"/>
    <w:rsid w:val="000018E4"/>
    <w:rsid w:val="00012591"/>
    <w:rsid w:val="00043181"/>
    <w:rsid w:val="00056290"/>
    <w:rsid w:val="0007645A"/>
    <w:rsid w:val="000863DE"/>
    <w:rsid w:val="00096822"/>
    <w:rsid w:val="000E17DF"/>
    <w:rsid w:val="001257A6"/>
    <w:rsid w:val="001259B5"/>
    <w:rsid w:val="001B151B"/>
    <w:rsid w:val="001B7F36"/>
    <w:rsid w:val="001D4B61"/>
    <w:rsid w:val="001E5AB2"/>
    <w:rsid w:val="002104B8"/>
    <w:rsid w:val="00224DC9"/>
    <w:rsid w:val="002669D1"/>
    <w:rsid w:val="00293D53"/>
    <w:rsid w:val="002A41AE"/>
    <w:rsid w:val="002B3DE2"/>
    <w:rsid w:val="002C1D10"/>
    <w:rsid w:val="002C7C60"/>
    <w:rsid w:val="002D7687"/>
    <w:rsid w:val="002E1EB1"/>
    <w:rsid w:val="002E746A"/>
    <w:rsid w:val="00307157"/>
    <w:rsid w:val="00315C72"/>
    <w:rsid w:val="003400D0"/>
    <w:rsid w:val="0034111A"/>
    <w:rsid w:val="0034160E"/>
    <w:rsid w:val="003465C5"/>
    <w:rsid w:val="00360599"/>
    <w:rsid w:val="0038620C"/>
    <w:rsid w:val="00394F46"/>
    <w:rsid w:val="00395773"/>
    <w:rsid w:val="003C3F3D"/>
    <w:rsid w:val="003F3B2D"/>
    <w:rsid w:val="004270DF"/>
    <w:rsid w:val="004539A2"/>
    <w:rsid w:val="00466000"/>
    <w:rsid w:val="00472B3C"/>
    <w:rsid w:val="004D3C64"/>
    <w:rsid w:val="004E0434"/>
    <w:rsid w:val="005225D2"/>
    <w:rsid w:val="00532086"/>
    <w:rsid w:val="00542FBD"/>
    <w:rsid w:val="00544CD6"/>
    <w:rsid w:val="00563BCE"/>
    <w:rsid w:val="005B5C1A"/>
    <w:rsid w:val="0060121B"/>
    <w:rsid w:val="00611529"/>
    <w:rsid w:val="006154CC"/>
    <w:rsid w:val="006314B8"/>
    <w:rsid w:val="0063542C"/>
    <w:rsid w:val="0065122A"/>
    <w:rsid w:val="00687ABD"/>
    <w:rsid w:val="006A690B"/>
    <w:rsid w:val="006B1B32"/>
    <w:rsid w:val="00731D38"/>
    <w:rsid w:val="0074100F"/>
    <w:rsid w:val="00741833"/>
    <w:rsid w:val="00753F84"/>
    <w:rsid w:val="00786949"/>
    <w:rsid w:val="007B4F53"/>
    <w:rsid w:val="007C3981"/>
    <w:rsid w:val="007C50B1"/>
    <w:rsid w:val="008145E2"/>
    <w:rsid w:val="0083298F"/>
    <w:rsid w:val="00877CB6"/>
    <w:rsid w:val="0089704B"/>
    <w:rsid w:val="008B3864"/>
    <w:rsid w:val="008C280E"/>
    <w:rsid w:val="008D33EC"/>
    <w:rsid w:val="008D7E0A"/>
    <w:rsid w:val="008F3094"/>
    <w:rsid w:val="009A4BD7"/>
    <w:rsid w:val="00A466BE"/>
    <w:rsid w:val="00A84F8E"/>
    <w:rsid w:val="00AA06EF"/>
    <w:rsid w:val="00AA6B38"/>
    <w:rsid w:val="00AB22FD"/>
    <w:rsid w:val="00AB4538"/>
    <w:rsid w:val="00AF1238"/>
    <w:rsid w:val="00B72A47"/>
    <w:rsid w:val="00BA0091"/>
    <w:rsid w:val="00BA0F3F"/>
    <w:rsid w:val="00BB775A"/>
    <w:rsid w:val="00BC3E56"/>
    <w:rsid w:val="00BC6BA7"/>
    <w:rsid w:val="00BD0FF4"/>
    <w:rsid w:val="00BF3662"/>
    <w:rsid w:val="00BF376F"/>
    <w:rsid w:val="00C21EDE"/>
    <w:rsid w:val="00C41333"/>
    <w:rsid w:val="00C60193"/>
    <w:rsid w:val="00C72C5D"/>
    <w:rsid w:val="00C94803"/>
    <w:rsid w:val="00CC32D4"/>
    <w:rsid w:val="00CD7603"/>
    <w:rsid w:val="00CE2E80"/>
    <w:rsid w:val="00D22A9D"/>
    <w:rsid w:val="00D80A79"/>
    <w:rsid w:val="00D87572"/>
    <w:rsid w:val="00D96059"/>
    <w:rsid w:val="00DA53A4"/>
    <w:rsid w:val="00DA64AD"/>
    <w:rsid w:val="00DD1DB6"/>
    <w:rsid w:val="00DD443D"/>
    <w:rsid w:val="00DF63E8"/>
    <w:rsid w:val="00E03BE9"/>
    <w:rsid w:val="00E21DFE"/>
    <w:rsid w:val="00E34BF6"/>
    <w:rsid w:val="00E61C36"/>
    <w:rsid w:val="00E627F7"/>
    <w:rsid w:val="00E95108"/>
    <w:rsid w:val="00EF180D"/>
    <w:rsid w:val="00EF3308"/>
    <w:rsid w:val="00F71F70"/>
    <w:rsid w:val="00F92F53"/>
    <w:rsid w:val="00FA6B5A"/>
    <w:rsid w:val="00FF71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DC9"/>
    <w:pPr>
      <w:spacing w:after="200" w:line="276" w:lineRule="auto"/>
    </w:pPr>
    <w:rPr>
      <w:noProof/>
      <w:sz w:val="22"/>
      <w:szCs w:val="22"/>
      <w:lang w:eastAsia="en-US"/>
    </w:rPr>
  </w:style>
  <w:style w:type="paragraph" w:styleId="Heading1">
    <w:name w:val="heading 1"/>
    <w:basedOn w:val="Normal"/>
    <w:next w:val="Normal"/>
    <w:qFormat/>
    <w:rsid w:val="00FA6B5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6B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6B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4F46"/>
    <w:pPr>
      <w:pBdr>
        <w:bottom w:val="single" w:sz="8" w:space="4" w:color="FF388C"/>
      </w:pBdr>
      <w:spacing w:after="300" w:line="240" w:lineRule="auto"/>
      <w:contextualSpacing/>
    </w:pPr>
    <w:rPr>
      <w:rFonts w:ascii="Cambria" w:eastAsia="Times New Roman" w:hAnsi="Cambria"/>
      <w:color w:val="4C4C4C"/>
      <w:spacing w:val="5"/>
      <w:kern w:val="28"/>
      <w:sz w:val="52"/>
      <w:szCs w:val="52"/>
    </w:rPr>
  </w:style>
  <w:style w:type="character" w:customStyle="1" w:styleId="TitleChar">
    <w:name w:val="Title Char"/>
    <w:link w:val="Title"/>
    <w:uiPriority w:val="10"/>
    <w:rsid w:val="00394F46"/>
    <w:rPr>
      <w:rFonts w:ascii="Cambria" w:eastAsia="Times New Roman" w:hAnsi="Cambria" w:cs="Times New Roman"/>
      <w:noProof/>
      <w:color w:val="4C4C4C"/>
      <w:spacing w:val="5"/>
      <w:kern w:val="28"/>
      <w:sz w:val="52"/>
      <w:szCs w:val="52"/>
      <w:lang w:val="sl-SI"/>
    </w:rPr>
  </w:style>
  <w:style w:type="paragraph" w:customStyle="1" w:styleId="slog2">
    <w:name w:val="slog2"/>
    <w:basedOn w:val="Normal"/>
    <w:rsid w:val="007C50B1"/>
    <w:pPr>
      <w:spacing w:after="0" w:line="360" w:lineRule="auto"/>
      <w:ind w:firstLine="708"/>
      <w:jc w:val="both"/>
    </w:pPr>
    <w:rPr>
      <w:rFonts w:ascii="Times New Roman" w:hAnsi="Times New Roman"/>
      <w:noProof w:val="0"/>
      <w:sz w:val="26"/>
      <w:szCs w:val="20"/>
      <w:lang w:eastAsia="sl-SI"/>
    </w:rPr>
  </w:style>
  <w:style w:type="character" w:styleId="Emphasis">
    <w:name w:val="Emphasis"/>
    <w:qFormat/>
    <w:rsid w:val="003F3B2D"/>
    <w:rPr>
      <w:i/>
      <w:iCs/>
    </w:rPr>
  </w:style>
  <w:style w:type="paragraph" w:styleId="NormalWeb">
    <w:name w:val="Normal (Web)"/>
    <w:basedOn w:val="Normal"/>
    <w:rsid w:val="00FA6B5A"/>
    <w:pPr>
      <w:spacing w:before="100" w:beforeAutospacing="1" w:after="100" w:afterAutospacing="1" w:line="240" w:lineRule="auto"/>
    </w:pPr>
    <w:rPr>
      <w:rFonts w:ascii="Times New Roman" w:eastAsia="Times New Roman" w:hAnsi="Times New Roman"/>
      <w:noProof w:val="0"/>
      <w:sz w:val="24"/>
      <w:szCs w:val="24"/>
      <w:lang w:val="en-US"/>
    </w:rPr>
  </w:style>
  <w:style w:type="character" w:styleId="Hyperlink">
    <w:name w:val="Hyperlink"/>
    <w:uiPriority w:val="99"/>
    <w:rsid w:val="00FA6B5A"/>
    <w:rPr>
      <w:color w:val="0000FF"/>
      <w:u w:val="single"/>
    </w:rPr>
  </w:style>
  <w:style w:type="paragraph" w:styleId="Footer">
    <w:name w:val="footer"/>
    <w:basedOn w:val="Normal"/>
    <w:rsid w:val="00FA6B5A"/>
    <w:pPr>
      <w:tabs>
        <w:tab w:val="center" w:pos="4320"/>
        <w:tab w:val="right" w:pos="8640"/>
      </w:tabs>
    </w:pPr>
  </w:style>
  <w:style w:type="character" w:styleId="PageNumber">
    <w:name w:val="page number"/>
    <w:basedOn w:val="DefaultParagraphFont"/>
    <w:rsid w:val="00FA6B5A"/>
  </w:style>
  <w:style w:type="paragraph" w:styleId="TOC1">
    <w:name w:val="toc 1"/>
    <w:basedOn w:val="Normal"/>
    <w:next w:val="Normal"/>
    <w:autoRedefine/>
    <w:semiHidden/>
    <w:rsid w:val="00FA6B5A"/>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FA6B5A"/>
    <w:pPr>
      <w:spacing w:after="0"/>
      <w:ind w:left="220"/>
    </w:pPr>
    <w:rPr>
      <w:rFonts w:ascii="Times New Roman" w:hAnsi="Times New Roman"/>
      <w:smallCaps/>
      <w:sz w:val="20"/>
      <w:szCs w:val="20"/>
    </w:rPr>
  </w:style>
  <w:style w:type="paragraph" w:styleId="TOC3">
    <w:name w:val="toc 3"/>
    <w:basedOn w:val="Normal"/>
    <w:next w:val="Normal"/>
    <w:autoRedefine/>
    <w:uiPriority w:val="39"/>
    <w:rsid w:val="00FA6B5A"/>
    <w:pPr>
      <w:spacing w:after="0"/>
      <w:ind w:left="440"/>
    </w:pPr>
    <w:rPr>
      <w:rFonts w:ascii="Times New Roman" w:hAnsi="Times New Roman"/>
      <w:i/>
      <w:iCs/>
      <w:sz w:val="20"/>
      <w:szCs w:val="20"/>
    </w:rPr>
  </w:style>
  <w:style w:type="paragraph" w:styleId="TOC4">
    <w:name w:val="toc 4"/>
    <w:basedOn w:val="Normal"/>
    <w:next w:val="Normal"/>
    <w:autoRedefine/>
    <w:semiHidden/>
    <w:rsid w:val="00FA6B5A"/>
    <w:pPr>
      <w:spacing w:after="0"/>
      <w:ind w:left="660"/>
    </w:pPr>
    <w:rPr>
      <w:rFonts w:ascii="Times New Roman" w:hAnsi="Times New Roman"/>
      <w:sz w:val="18"/>
      <w:szCs w:val="18"/>
    </w:rPr>
  </w:style>
  <w:style w:type="paragraph" w:styleId="TOC5">
    <w:name w:val="toc 5"/>
    <w:basedOn w:val="Normal"/>
    <w:next w:val="Normal"/>
    <w:autoRedefine/>
    <w:semiHidden/>
    <w:rsid w:val="00FA6B5A"/>
    <w:pPr>
      <w:spacing w:after="0"/>
      <w:ind w:left="880"/>
    </w:pPr>
    <w:rPr>
      <w:rFonts w:ascii="Times New Roman" w:hAnsi="Times New Roman"/>
      <w:sz w:val="18"/>
      <w:szCs w:val="18"/>
    </w:rPr>
  </w:style>
  <w:style w:type="paragraph" w:styleId="TOC6">
    <w:name w:val="toc 6"/>
    <w:basedOn w:val="Normal"/>
    <w:next w:val="Normal"/>
    <w:autoRedefine/>
    <w:semiHidden/>
    <w:rsid w:val="00FA6B5A"/>
    <w:pPr>
      <w:spacing w:after="0"/>
      <w:ind w:left="1100"/>
    </w:pPr>
    <w:rPr>
      <w:rFonts w:ascii="Times New Roman" w:hAnsi="Times New Roman"/>
      <w:sz w:val="18"/>
      <w:szCs w:val="18"/>
    </w:rPr>
  </w:style>
  <w:style w:type="paragraph" w:styleId="TOC7">
    <w:name w:val="toc 7"/>
    <w:basedOn w:val="Normal"/>
    <w:next w:val="Normal"/>
    <w:autoRedefine/>
    <w:semiHidden/>
    <w:rsid w:val="00FA6B5A"/>
    <w:pPr>
      <w:spacing w:after="0"/>
      <w:ind w:left="1320"/>
    </w:pPr>
    <w:rPr>
      <w:rFonts w:ascii="Times New Roman" w:hAnsi="Times New Roman"/>
      <w:sz w:val="18"/>
      <w:szCs w:val="18"/>
    </w:rPr>
  </w:style>
  <w:style w:type="paragraph" w:styleId="TOC8">
    <w:name w:val="toc 8"/>
    <w:basedOn w:val="Normal"/>
    <w:next w:val="Normal"/>
    <w:autoRedefine/>
    <w:semiHidden/>
    <w:rsid w:val="00FA6B5A"/>
    <w:pPr>
      <w:spacing w:after="0"/>
      <w:ind w:left="1540"/>
    </w:pPr>
    <w:rPr>
      <w:rFonts w:ascii="Times New Roman" w:hAnsi="Times New Roman"/>
      <w:sz w:val="18"/>
      <w:szCs w:val="18"/>
    </w:rPr>
  </w:style>
  <w:style w:type="paragraph" w:styleId="TOC9">
    <w:name w:val="toc 9"/>
    <w:basedOn w:val="Normal"/>
    <w:next w:val="Normal"/>
    <w:autoRedefine/>
    <w:semiHidden/>
    <w:rsid w:val="00FA6B5A"/>
    <w:pPr>
      <w:spacing w:after="0"/>
      <w:ind w:left="1760"/>
    </w:pPr>
    <w:rPr>
      <w:rFonts w:ascii="Times New Roman" w:hAnsi="Times New Roman"/>
      <w:sz w:val="18"/>
      <w:szCs w:val="18"/>
    </w:rPr>
  </w:style>
  <w:style w:type="paragraph" w:styleId="TOCHeading">
    <w:name w:val="TOC Heading"/>
    <w:basedOn w:val="Heading1"/>
    <w:next w:val="Normal"/>
    <w:uiPriority w:val="39"/>
    <w:semiHidden/>
    <w:unhideWhenUsed/>
    <w:qFormat/>
    <w:rsid w:val="00DF63E8"/>
    <w:pPr>
      <w:keepLines/>
      <w:spacing w:before="480" w:after="0"/>
      <w:outlineLvl w:val="9"/>
    </w:pPr>
    <w:rPr>
      <w:rFonts w:ascii="Cambria" w:eastAsia="Times New Roman" w:hAnsi="Cambria" w:cs="Times New Roman"/>
      <w:noProof w:val="0"/>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3900">
      <w:bodyDiv w:val="1"/>
      <w:marLeft w:val="0"/>
      <w:marRight w:val="0"/>
      <w:marTop w:val="0"/>
      <w:marBottom w:val="0"/>
      <w:divBdr>
        <w:top w:val="none" w:sz="0" w:space="0" w:color="auto"/>
        <w:left w:val="none" w:sz="0" w:space="0" w:color="auto"/>
        <w:bottom w:val="none" w:sz="0" w:space="0" w:color="auto"/>
        <w:right w:val="none" w:sz="0" w:space="0" w:color="auto"/>
      </w:divBdr>
    </w:div>
    <w:div w:id="326902621">
      <w:bodyDiv w:val="1"/>
      <w:marLeft w:val="0"/>
      <w:marRight w:val="0"/>
      <w:marTop w:val="0"/>
      <w:marBottom w:val="0"/>
      <w:divBdr>
        <w:top w:val="none" w:sz="0" w:space="0" w:color="auto"/>
        <w:left w:val="none" w:sz="0" w:space="0" w:color="auto"/>
        <w:bottom w:val="none" w:sz="0" w:space="0" w:color="auto"/>
        <w:right w:val="none" w:sz="0" w:space="0" w:color="auto"/>
      </w:divBdr>
    </w:div>
    <w:div w:id="606891492">
      <w:bodyDiv w:val="1"/>
      <w:marLeft w:val="0"/>
      <w:marRight w:val="0"/>
      <w:marTop w:val="0"/>
      <w:marBottom w:val="0"/>
      <w:divBdr>
        <w:top w:val="none" w:sz="0" w:space="0" w:color="auto"/>
        <w:left w:val="none" w:sz="0" w:space="0" w:color="auto"/>
        <w:bottom w:val="none" w:sz="0" w:space="0" w:color="auto"/>
        <w:right w:val="none" w:sz="0" w:space="0" w:color="auto"/>
      </w:divBdr>
    </w:div>
    <w:div w:id="1279098244">
      <w:bodyDiv w:val="1"/>
      <w:marLeft w:val="0"/>
      <w:marRight w:val="0"/>
      <w:marTop w:val="0"/>
      <w:marBottom w:val="0"/>
      <w:divBdr>
        <w:top w:val="none" w:sz="0" w:space="0" w:color="auto"/>
        <w:left w:val="none" w:sz="0" w:space="0" w:color="auto"/>
        <w:bottom w:val="none" w:sz="0" w:space="0" w:color="auto"/>
        <w:right w:val="none" w:sz="0" w:space="0" w:color="auto"/>
      </w:divBdr>
    </w:div>
    <w:div w:id="1453673771">
      <w:bodyDiv w:val="1"/>
      <w:marLeft w:val="0"/>
      <w:marRight w:val="0"/>
      <w:marTop w:val="0"/>
      <w:marBottom w:val="0"/>
      <w:divBdr>
        <w:top w:val="none" w:sz="0" w:space="0" w:color="auto"/>
        <w:left w:val="none" w:sz="0" w:space="0" w:color="auto"/>
        <w:bottom w:val="none" w:sz="0" w:space="0" w:color="auto"/>
        <w:right w:val="none" w:sz="0" w:space="0" w:color="auto"/>
      </w:divBdr>
    </w:div>
    <w:div w:id="1619946805">
      <w:bodyDiv w:val="1"/>
      <w:marLeft w:val="0"/>
      <w:marRight w:val="0"/>
      <w:marTop w:val="0"/>
      <w:marBottom w:val="0"/>
      <w:divBdr>
        <w:top w:val="none" w:sz="0" w:space="0" w:color="auto"/>
        <w:left w:val="none" w:sz="0" w:space="0" w:color="auto"/>
        <w:bottom w:val="none" w:sz="0" w:space="0" w:color="auto"/>
        <w:right w:val="none" w:sz="0" w:space="0" w:color="auto"/>
      </w:divBdr>
    </w:div>
    <w:div w:id="1790736565">
      <w:bodyDiv w:val="1"/>
      <w:marLeft w:val="0"/>
      <w:marRight w:val="0"/>
      <w:marTop w:val="0"/>
      <w:marBottom w:val="0"/>
      <w:divBdr>
        <w:top w:val="none" w:sz="0" w:space="0" w:color="auto"/>
        <w:left w:val="none" w:sz="0" w:space="0" w:color="auto"/>
        <w:bottom w:val="none" w:sz="0" w:space="0" w:color="auto"/>
        <w:right w:val="none" w:sz="0" w:space="0" w:color="auto"/>
      </w:divBdr>
    </w:div>
    <w:div w:id="1966614474">
      <w:bodyDiv w:val="1"/>
      <w:marLeft w:val="0"/>
      <w:marRight w:val="0"/>
      <w:marTop w:val="0"/>
      <w:marBottom w:val="0"/>
      <w:divBdr>
        <w:top w:val="none" w:sz="0" w:space="0" w:color="auto"/>
        <w:left w:val="none" w:sz="0" w:space="0" w:color="auto"/>
        <w:bottom w:val="none" w:sz="0" w:space="0" w:color="auto"/>
        <w:right w:val="none" w:sz="0" w:space="0" w:color="auto"/>
      </w:divBdr>
    </w:div>
    <w:div w:id="19791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da.si/si/teme_in_projekti/aktivno_proti_financni_in_gospodarski_kriz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slovenija/pdf/2008/2008-1127_pek_-_obsezen_nacrt_gospodarskega_okrevanja_za_rast_in_delovna_mesta-slo.doc"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896AF-B08D-43CB-AD98-57BBC634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9790</Characters>
  <Application>Microsoft Office Word</Application>
  <DocSecurity>0</DocSecurity>
  <Lines>81</Lines>
  <Paragraphs>22</Paragraphs>
  <ScaleCrop>false</ScaleCrop>
  <Company/>
  <LinksUpToDate>false</LinksUpToDate>
  <CharactersWithSpaces>11485</CharactersWithSpaces>
  <SharedDoc>false</SharedDoc>
  <HLinks>
    <vt:vector size="96" baseType="variant">
      <vt:variant>
        <vt:i4>655406</vt:i4>
      </vt:variant>
      <vt:variant>
        <vt:i4>93</vt:i4>
      </vt:variant>
      <vt:variant>
        <vt:i4>0</vt:i4>
      </vt:variant>
      <vt:variant>
        <vt:i4>5</vt:i4>
      </vt:variant>
      <vt:variant>
        <vt:lpwstr>http://www.vlada.si/si/teme_in_projekti/aktivno_proti_financni_in_gospodarski_krizi</vt:lpwstr>
      </vt:variant>
      <vt:variant>
        <vt:lpwstr/>
      </vt:variant>
      <vt:variant>
        <vt:i4>6815765</vt:i4>
      </vt:variant>
      <vt:variant>
        <vt:i4>90</vt:i4>
      </vt:variant>
      <vt:variant>
        <vt:i4>0</vt:i4>
      </vt:variant>
      <vt:variant>
        <vt:i4>5</vt:i4>
      </vt:variant>
      <vt:variant>
        <vt:lpwstr>http://ec.europa.eu/slovenija/pdf/2008/2008-1127_pek_-_obsezen_nacrt_gospodarskega_okrevanja_za_rast_in_delovna_mesta-slo.doc</vt:lpwstr>
      </vt:variant>
      <vt:variant>
        <vt:lpwstr/>
      </vt:variant>
      <vt:variant>
        <vt:i4>1245239</vt:i4>
      </vt:variant>
      <vt:variant>
        <vt:i4>80</vt:i4>
      </vt:variant>
      <vt:variant>
        <vt:i4>0</vt:i4>
      </vt:variant>
      <vt:variant>
        <vt:i4>5</vt:i4>
      </vt:variant>
      <vt:variant>
        <vt:lpwstr/>
      </vt:variant>
      <vt:variant>
        <vt:lpwstr>_Toc251220630</vt:lpwstr>
      </vt:variant>
      <vt:variant>
        <vt:i4>1179703</vt:i4>
      </vt:variant>
      <vt:variant>
        <vt:i4>74</vt:i4>
      </vt:variant>
      <vt:variant>
        <vt:i4>0</vt:i4>
      </vt:variant>
      <vt:variant>
        <vt:i4>5</vt:i4>
      </vt:variant>
      <vt:variant>
        <vt:lpwstr/>
      </vt:variant>
      <vt:variant>
        <vt:lpwstr>_Toc251220629</vt:lpwstr>
      </vt:variant>
      <vt:variant>
        <vt:i4>1179703</vt:i4>
      </vt:variant>
      <vt:variant>
        <vt:i4>68</vt:i4>
      </vt:variant>
      <vt:variant>
        <vt:i4>0</vt:i4>
      </vt:variant>
      <vt:variant>
        <vt:i4>5</vt:i4>
      </vt:variant>
      <vt:variant>
        <vt:lpwstr/>
      </vt:variant>
      <vt:variant>
        <vt:lpwstr>_Toc251220628</vt:lpwstr>
      </vt:variant>
      <vt:variant>
        <vt:i4>1179703</vt:i4>
      </vt:variant>
      <vt:variant>
        <vt:i4>62</vt:i4>
      </vt:variant>
      <vt:variant>
        <vt:i4>0</vt:i4>
      </vt:variant>
      <vt:variant>
        <vt:i4>5</vt:i4>
      </vt:variant>
      <vt:variant>
        <vt:lpwstr/>
      </vt:variant>
      <vt:variant>
        <vt:lpwstr>_Toc251220627</vt:lpwstr>
      </vt:variant>
      <vt:variant>
        <vt:i4>1179703</vt:i4>
      </vt:variant>
      <vt:variant>
        <vt:i4>56</vt:i4>
      </vt:variant>
      <vt:variant>
        <vt:i4>0</vt:i4>
      </vt:variant>
      <vt:variant>
        <vt:i4>5</vt:i4>
      </vt:variant>
      <vt:variant>
        <vt:lpwstr/>
      </vt:variant>
      <vt:variant>
        <vt:lpwstr>_Toc251220626</vt:lpwstr>
      </vt:variant>
      <vt:variant>
        <vt:i4>1179703</vt:i4>
      </vt:variant>
      <vt:variant>
        <vt:i4>50</vt:i4>
      </vt:variant>
      <vt:variant>
        <vt:i4>0</vt:i4>
      </vt:variant>
      <vt:variant>
        <vt:i4>5</vt:i4>
      </vt:variant>
      <vt:variant>
        <vt:lpwstr/>
      </vt:variant>
      <vt:variant>
        <vt:lpwstr>_Toc251220625</vt:lpwstr>
      </vt:variant>
      <vt:variant>
        <vt:i4>1179703</vt:i4>
      </vt:variant>
      <vt:variant>
        <vt:i4>44</vt:i4>
      </vt:variant>
      <vt:variant>
        <vt:i4>0</vt:i4>
      </vt:variant>
      <vt:variant>
        <vt:i4>5</vt:i4>
      </vt:variant>
      <vt:variant>
        <vt:lpwstr/>
      </vt:variant>
      <vt:variant>
        <vt:lpwstr>_Toc251220624</vt:lpwstr>
      </vt:variant>
      <vt:variant>
        <vt:i4>1179703</vt:i4>
      </vt:variant>
      <vt:variant>
        <vt:i4>38</vt:i4>
      </vt:variant>
      <vt:variant>
        <vt:i4>0</vt:i4>
      </vt:variant>
      <vt:variant>
        <vt:i4>5</vt:i4>
      </vt:variant>
      <vt:variant>
        <vt:lpwstr/>
      </vt:variant>
      <vt:variant>
        <vt:lpwstr>_Toc251220623</vt:lpwstr>
      </vt:variant>
      <vt:variant>
        <vt:i4>1179703</vt:i4>
      </vt:variant>
      <vt:variant>
        <vt:i4>32</vt:i4>
      </vt:variant>
      <vt:variant>
        <vt:i4>0</vt:i4>
      </vt:variant>
      <vt:variant>
        <vt:i4>5</vt:i4>
      </vt:variant>
      <vt:variant>
        <vt:lpwstr/>
      </vt:variant>
      <vt:variant>
        <vt:lpwstr>_Toc251220622</vt:lpwstr>
      </vt:variant>
      <vt:variant>
        <vt:i4>1179703</vt:i4>
      </vt:variant>
      <vt:variant>
        <vt:i4>26</vt:i4>
      </vt:variant>
      <vt:variant>
        <vt:i4>0</vt:i4>
      </vt:variant>
      <vt:variant>
        <vt:i4>5</vt:i4>
      </vt:variant>
      <vt:variant>
        <vt:lpwstr/>
      </vt:variant>
      <vt:variant>
        <vt:lpwstr>_Toc251220621</vt:lpwstr>
      </vt:variant>
      <vt:variant>
        <vt:i4>1179703</vt:i4>
      </vt:variant>
      <vt:variant>
        <vt:i4>20</vt:i4>
      </vt:variant>
      <vt:variant>
        <vt:i4>0</vt:i4>
      </vt:variant>
      <vt:variant>
        <vt:i4>5</vt:i4>
      </vt:variant>
      <vt:variant>
        <vt:lpwstr/>
      </vt:variant>
      <vt:variant>
        <vt:lpwstr>_Toc251220620</vt:lpwstr>
      </vt:variant>
      <vt:variant>
        <vt:i4>1114167</vt:i4>
      </vt:variant>
      <vt:variant>
        <vt:i4>14</vt:i4>
      </vt:variant>
      <vt:variant>
        <vt:i4>0</vt:i4>
      </vt:variant>
      <vt:variant>
        <vt:i4>5</vt:i4>
      </vt:variant>
      <vt:variant>
        <vt:lpwstr/>
      </vt:variant>
      <vt:variant>
        <vt:lpwstr>_Toc251220619</vt:lpwstr>
      </vt:variant>
      <vt:variant>
        <vt:i4>1114167</vt:i4>
      </vt:variant>
      <vt:variant>
        <vt:i4>8</vt:i4>
      </vt:variant>
      <vt:variant>
        <vt:i4>0</vt:i4>
      </vt:variant>
      <vt:variant>
        <vt:i4>5</vt:i4>
      </vt:variant>
      <vt:variant>
        <vt:lpwstr/>
      </vt:variant>
      <vt:variant>
        <vt:lpwstr>_Toc251220618</vt:lpwstr>
      </vt:variant>
      <vt:variant>
        <vt:i4>1114167</vt:i4>
      </vt:variant>
      <vt:variant>
        <vt:i4>2</vt:i4>
      </vt:variant>
      <vt:variant>
        <vt:i4>0</vt:i4>
      </vt:variant>
      <vt:variant>
        <vt:i4>5</vt:i4>
      </vt:variant>
      <vt:variant>
        <vt:lpwstr/>
      </vt:variant>
      <vt:variant>
        <vt:lpwstr>_Toc251220617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