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169" w:rsidRDefault="00A8251C">
      <w:pPr>
        <w:jc w:val="center"/>
        <w:rPr>
          <w:rFonts w:ascii="SLO_Bookman" w:hAnsi="SLO_Bookman"/>
          <w:b/>
          <w:sz w:val="36"/>
        </w:rPr>
      </w:pPr>
      <w:bookmarkStart w:id="0" w:name="_GoBack"/>
      <w:bookmarkEnd w:id="0"/>
      <w:r>
        <w:rPr>
          <w:rFonts w:ascii="SLO_Bookman" w:hAnsi="SLO_Bookman"/>
          <w:b/>
          <w:sz w:val="36"/>
        </w:rPr>
        <w:t>MLADOSLOVENCI IN TABORI</w:t>
      </w:r>
    </w:p>
    <w:p w:rsidR="00397169" w:rsidRDefault="00397169">
      <w:pPr>
        <w:jc w:val="center"/>
        <w:rPr>
          <w:rFonts w:ascii="SLO_Bookman" w:hAnsi="SLO_Bookman"/>
          <w:sz w:val="28"/>
        </w:rPr>
      </w:pPr>
    </w:p>
    <w:p w:rsidR="00397169" w:rsidRDefault="00A8251C">
      <w:pPr>
        <w:jc w:val="both"/>
        <w:rPr>
          <w:rFonts w:ascii="SLO_Bookman" w:hAnsi="SLO_Bookman"/>
          <w:sz w:val="24"/>
        </w:rPr>
      </w:pPr>
      <w:r>
        <w:rPr>
          <w:rFonts w:ascii="SLO_Bookman" w:hAnsi="SLO_Bookman"/>
          <w:sz w:val="24"/>
        </w:rPr>
        <w:t>Z dualizmom povezana večja politična svoboda in zmaga nekaterih parlamentarnih načel je privedla v Avstriji po izglasovanju nove ustave do t.i. prvega “meščanskega” ministrstva, vlade avstrijsko-nemške liberalne buržoazije. Ta liberalni režim je trajal vse do 1879, s presledkom od aprila 1870 do oktobra 1871, ko se je za kratek čas pojavila vlada konservativcev in federalistov.</w:t>
      </w:r>
    </w:p>
    <w:p w:rsidR="00397169" w:rsidRDefault="00A8251C">
      <w:pPr>
        <w:jc w:val="both"/>
        <w:rPr>
          <w:rFonts w:ascii="SLO_Bookman" w:hAnsi="SLO_Bookman"/>
          <w:sz w:val="24"/>
        </w:rPr>
      </w:pPr>
      <w:r>
        <w:rPr>
          <w:rFonts w:ascii="SLO_Bookman" w:hAnsi="SLO_Bookman"/>
          <w:sz w:val="24"/>
        </w:rPr>
        <w:t xml:space="preserve"> Avstrijske vlade tistega časa niso bile prave strankarske vlade; zelo močna je bila običajno v vladi skupina ministrov iz vrst s cesarjem ožje povezanih višjih uradnikov in hkrati višjega plemstva. Ti so predvsem sledili cesarjevi volji, bili po nazorih bolj konzervativni kot liberalni, a so jih vključevali v liberalne vlade kot njihovo desno krilo ali pa postavljali na vodilna mesta v t.i. konservativne vlade, ki so se uradno večinoma predstavljale kot “nadstrankarske”.</w:t>
      </w:r>
    </w:p>
    <w:p w:rsidR="00397169" w:rsidRDefault="00A8251C">
      <w:pPr>
        <w:jc w:val="both"/>
        <w:rPr>
          <w:rFonts w:ascii="SLO_Bookman" w:hAnsi="SLO_Bookman"/>
          <w:sz w:val="24"/>
        </w:rPr>
      </w:pPr>
      <w:r>
        <w:rPr>
          <w:rFonts w:ascii="SLO_Bookman" w:hAnsi="SLO_Bookman"/>
          <w:sz w:val="24"/>
        </w:rPr>
        <w:t xml:space="preserve"> Dualistično ureditev monarhije so sprejeli Slovenci z velikim nezadovoljstvom. Pomenila je udarec njihovim političnim koncepcijam, ki so računale na enakopravnost vseh narodov v monarhiji. Zdaj pa so se Nemci in Madžari sporazumeli na račun vseh ostalih, kar je podaljšalo možnost nadaljnjega narodnostnega zatiranja. V novem položaju so čutili potrebo po odločnejši politiki. Ta potreba se je še stopnjevala ob ogorčenju, ki je nastalo v slovenski politični javnosti ob glasovanju slovenskih poslancev v dunajskem parlamentu. Vedno glasneje so poudarjali zahtevo, naj Slovenci prevzamejo politiko Čehov, ki so stali na doslednem opozicionalnem stališču in se že od leta 1863/64 niso udeleževali zasedanj dunajskega državnega zbora. Na drugi strani pa se je tedaj zbudil občutek potrebe po povezanosti z ostalimi jugoslovanskimi narodi, Hrvati in Srbi v monarhiji. Ta povezava se je kazala kot nujna ob razočaranju nad preureditvijo monarhije in nad politiko avstrijske vlade, ob potrebi skupnega boja proti dualizmu in za enakopravnost narodov pa tudi ob misli na zelo možen bližnji razpad monarhije, kjer bi edino združitev jugoslovanskih narodov mogla zagotoviti Slovencem nadaljnji nacionalni obstoj in svobodo. Iz istega občutka nevarnosti so se pri delu slovenske inteligence spet krepila panslavistična čustva. V odporu proti tudi v monarhiji zelo razširjenemu poudarjanju nemštva, njegove izredne vloge v evropski zgodovini in kulturi, so mnogi našli uteho v mislih na razširjenost Slovanov, zlasti pa v mislih na veliko rusko državo. V tem čustvovanju, ki je bilo le zunanje in v besedah, ni pa poznalo nobenega konkretnega cilja in programa, je vsekakor bilo mnogo nezaupanja v lastne sile.</w:t>
      </w:r>
    </w:p>
    <w:p w:rsidR="00397169" w:rsidRDefault="00A8251C">
      <w:pPr>
        <w:jc w:val="both"/>
        <w:rPr>
          <w:rFonts w:ascii="SLO_Bookman" w:hAnsi="SLO_Bookman"/>
          <w:sz w:val="24"/>
        </w:rPr>
      </w:pPr>
      <w:r>
        <w:rPr>
          <w:rFonts w:ascii="SLO_Bookman" w:hAnsi="SLO_Bookman"/>
          <w:sz w:val="24"/>
        </w:rPr>
        <w:t xml:space="preserve"> Ob dualizmu sproženi odpor proti dotedanji slovenski politiki je spravil v ospredje </w:t>
      </w:r>
      <w:r>
        <w:rPr>
          <w:rFonts w:ascii="SLO_Bookman" w:hAnsi="SLO_Bookman"/>
          <w:b/>
          <w:sz w:val="24"/>
        </w:rPr>
        <w:t>mladoslovenski tabor</w:t>
      </w:r>
      <w:r>
        <w:rPr>
          <w:rFonts w:ascii="SLO_Bookman" w:hAnsi="SLO_Bookman"/>
          <w:sz w:val="24"/>
        </w:rPr>
        <w:t xml:space="preserve">, ki je postal za kratko dobo nosilec nove politične aktivnosti. Ko je leta 1867 prenehal izhajati Einspielerjev Slovenec, ker ga tiskarnar iz strahu pred Nemci ni hotel več tiskati, so mladoslovenci, ki sta jim bila prvaška časopisa Novice in Triglav zaprta, začeli v aprilu 1868 v Mariboru izdajati svoj politični časnik, Slovenski narod. Njegov glavni urednik je bil Anton Tomšič, po njegovi smrti pa Josip Jurčič. Izhajal je najprej trikrat na teden, leta 1872 pa se je preselil v Ljubljano in v začetku naslednjega leta postal dnevnik. V prvi številki objavljeni program Slovenskega naroda se je zavzemal za Zedinjeno Slovenijo in za zvezno, toda “edino, mogočno in svobodno Avstrijo”, to se pravi proti dualizmu, proti kateremu pa se je treba bojevati le zakonito in ustavno. Propada Avstrije se je namreč bal, ker bi bil to tudi propad za Slovence, ki bi prišli bodisi pod Italijo bodisi pod Prusijo. Posebej se je zavzemal za upravičene zahteve drugih avstrijskih slovanskih narodov, zlasti Hrvatov in Srbov. Naglašal pa je tudi slovansko vzajemnost na literarnem in splošno kulturnem področju. V verskem pogledu se Slovenski narod v svojem programu ni upal postaviti na odkrito liberalno stališče. </w:t>
      </w:r>
    </w:p>
    <w:p w:rsidR="00397169" w:rsidRDefault="00A8251C">
      <w:pPr>
        <w:jc w:val="both"/>
        <w:rPr>
          <w:rFonts w:ascii="SLO_Bookman" w:hAnsi="SLO_Bookman"/>
          <w:sz w:val="24"/>
        </w:rPr>
      </w:pPr>
      <w:r>
        <w:rPr>
          <w:rFonts w:ascii="SLO_Bookman" w:hAnsi="SLO_Bookman"/>
          <w:sz w:val="24"/>
        </w:rPr>
        <w:t xml:space="preserve"> Poleti istega leta (14.8.) je bil v Ljubljani prvi študentski shod, kjer se je študentska maldina izrekla za napredna načela in proslavljala Levstika kot svojega voditelja. Udeležili so se ga študentje iz Gradca, Dunaja in Prage ter tudi nekaj maturantov iz Ljubljane. Predsedoval mu je Anton Tomšič, zapisnikarja pa sta bila Fran Celestin in Fran Levec. V istem duhu kakor prvi je potekel tudi študentski shod leto dni kasneje (september 1869), ki je zahteval ustanovitev univerze v Ljubljani s slovenskim učnim jezikom. Ob vprašanju, kateri jezik naj Slovenci uporabljajo za višjo kulturo, so se odločili za ruščino.</w:t>
      </w:r>
    </w:p>
    <w:p w:rsidR="00397169" w:rsidRDefault="00A8251C">
      <w:pPr>
        <w:jc w:val="both"/>
        <w:rPr>
          <w:rFonts w:ascii="SLO_Bookman" w:hAnsi="SLO_Bookman"/>
          <w:sz w:val="24"/>
        </w:rPr>
      </w:pPr>
      <w:r>
        <w:rPr>
          <w:rFonts w:ascii="SLO_Bookman" w:hAnsi="SLO_Bookman"/>
          <w:sz w:val="24"/>
        </w:rPr>
        <w:t xml:space="preserve"> Leta 1868 so nekateri štajerski mladoslovenci prišli na misel organizirati množična zborovanja na prostem, iz angleškega političnega življenja znane mitinge (tako jih je v začetku imenoval tudi Levstik), ki </w:t>
      </w:r>
      <w:r>
        <w:rPr>
          <w:rFonts w:ascii="SLO_Bookman" w:hAnsi="SLO_Bookman"/>
          <w:sz w:val="24"/>
        </w:rPr>
        <w:lastRenderedPageBreak/>
        <w:t xml:space="preserve">so jim na Slovenskem kakor na Češkem vzdeli ime </w:t>
      </w:r>
      <w:r>
        <w:rPr>
          <w:rFonts w:ascii="SLO_Bookman" w:hAnsi="SLO_Bookman"/>
          <w:b/>
          <w:sz w:val="24"/>
        </w:rPr>
        <w:t>tabori</w:t>
      </w:r>
      <w:r>
        <w:rPr>
          <w:rFonts w:ascii="SLO_Bookman" w:hAnsi="SLO_Bookman"/>
          <w:sz w:val="24"/>
        </w:rPr>
        <w:t xml:space="preserve"> in ki jih je zdaj novi zakon o zborovanjih dopuščal.</w:t>
      </w:r>
    </w:p>
    <w:p w:rsidR="00397169" w:rsidRDefault="00A8251C">
      <w:pPr>
        <w:jc w:val="both"/>
        <w:rPr>
          <w:rFonts w:ascii="SLO_Bookman" w:hAnsi="SLO_Bookman"/>
          <w:sz w:val="24"/>
        </w:rPr>
      </w:pPr>
      <w:r>
        <w:rPr>
          <w:rFonts w:ascii="SLO_Bookman" w:hAnsi="SLO_Bookman"/>
          <w:sz w:val="24"/>
        </w:rPr>
        <w:t xml:space="preserve"> Na Štajerskem so že od leta 1863 naprej prirejali “besede pod milim nebom”, ki so imele zelo velik odziv in ki so jih priporočali tudi drugim deželam. Ideja taborov je torej zrasla v zelo razgibanem okolju v pokrajini Ljutomera, kjer je bilo že v predmarčni dobi narodno gibanje zelo močno.</w:t>
      </w:r>
    </w:p>
    <w:p w:rsidR="00397169" w:rsidRDefault="00A8251C">
      <w:pPr>
        <w:jc w:val="both"/>
        <w:rPr>
          <w:rFonts w:ascii="SLO_Bookman" w:hAnsi="SLO_Bookman"/>
          <w:sz w:val="24"/>
        </w:rPr>
      </w:pPr>
      <w:r>
        <w:rPr>
          <w:rFonts w:ascii="SLO_Bookman" w:hAnsi="SLO_Bookman"/>
          <w:sz w:val="24"/>
        </w:rPr>
        <w:t xml:space="preserve"> Prvi tabor je bil v Ljutomeru 9.8.1868. Na njem so sprejeli naslednjo resolucijo: “Tukaj zbrani slovenski narod soglasno izreka, da v 19 državnih osnovnih postav ne najde poroštva za ohranitev in gojitev svoje narodnosti, dokler ne bode:</w:t>
      </w:r>
    </w:p>
    <w:p w:rsidR="00397169" w:rsidRDefault="00A8251C" w:rsidP="00A8251C">
      <w:pPr>
        <w:numPr>
          <w:ilvl w:val="0"/>
          <w:numId w:val="1"/>
        </w:numPr>
        <w:tabs>
          <w:tab w:val="left" w:pos="566"/>
        </w:tabs>
        <w:jc w:val="both"/>
        <w:rPr>
          <w:rFonts w:ascii="SLO_Bookman" w:hAnsi="SLO_Bookman"/>
          <w:sz w:val="24"/>
        </w:rPr>
      </w:pPr>
      <w:r>
        <w:rPr>
          <w:rFonts w:ascii="SLO_Bookman" w:hAnsi="SLO_Bookman"/>
          <w:sz w:val="24"/>
        </w:rPr>
        <w:t>Slovenski jezik na Slovenskem izključno uradni jezik in dokler se ne bo v ta namen na Slovenskem nemudoma določil rok, in sicer pol leta, do katerega morajo vsi uradniki znati slovenščino v besedi in pismu.</w:t>
      </w:r>
    </w:p>
    <w:p w:rsidR="00397169" w:rsidRDefault="00A8251C" w:rsidP="00A8251C">
      <w:pPr>
        <w:numPr>
          <w:ilvl w:val="0"/>
          <w:numId w:val="1"/>
        </w:numPr>
        <w:tabs>
          <w:tab w:val="left" w:pos="566"/>
        </w:tabs>
        <w:jc w:val="both"/>
        <w:rPr>
          <w:rFonts w:ascii="SLO_Bookman" w:hAnsi="SLO_Bookman"/>
          <w:sz w:val="24"/>
        </w:rPr>
      </w:pPr>
      <w:r>
        <w:rPr>
          <w:rFonts w:ascii="SLO_Bookman" w:hAnsi="SLO_Bookman"/>
          <w:sz w:val="24"/>
        </w:rPr>
        <w:t>Dokler ne bo cerkvena vlada na Slovenskem uradovala v slovenskem jeziku in se ne bodo v bogoslovnicah predmeti, kateri se do zdaj nemško predavajo, odslej slovensko razlagali.</w:t>
      </w:r>
    </w:p>
    <w:p w:rsidR="00397169" w:rsidRDefault="00A8251C" w:rsidP="00A8251C">
      <w:pPr>
        <w:numPr>
          <w:ilvl w:val="0"/>
          <w:numId w:val="1"/>
        </w:numPr>
        <w:tabs>
          <w:tab w:val="left" w:pos="566"/>
        </w:tabs>
        <w:jc w:val="both"/>
        <w:rPr>
          <w:rFonts w:ascii="SLO_Bookman" w:hAnsi="SLO_Bookman"/>
          <w:sz w:val="24"/>
        </w:rPr>
      </w:pPr>
      <w:r>
        <w:rPr>
          <w:rFonts w:ascii="SLO_Bookman" w:hAnsi="SLO_Bookman"/>
          <w:sz w:val="24"/>
        </w:rPr>
        <w:t>Dokler ne bodo ljudske šole čisto slovenske in v slednjih učni jezik slovenski (nemščina ostane učni predmet).</w:t>
      </w:r>
    </w:p>
    <w:p w:rsidR="00397169" w:rsidRDefault="00A8251C" w:rsidP="00A8251C">
      <w:pPr>
        <w:numPr>
          <w:ilvl w:val="0"/>
          <w:numId w:val="1"/>
        </w:numPr>
        <w:tabs>
          <w:tab w:val="left" w:pos="566"/>
        </w:tabs>
        <w:jc w:val="both"/>
        <w:rPr>
          <w:rFonts w:ascii="SLO_Bookman" w:hAnsi="SLO_Bookman"/>
          <w:sz w:val="24"/>
        </w:rPr>
      </w:pPr>
      <w:r>
        <w:rPr>
          <w:rFonts w:ascii="SLO_Bookman" w:hAnsi="SLO_Bookman"/>
          <w:sz w:val="24"/>
        </w:rPr>
        <w:t>Dokler se ne združijo Slovenci v Zedinjeno Slovenijo z narodno upravo.</w:t>
      </w:r>
    </w:p>
    <w:p w:rsidR="00397169" w:rsidRDefault="00A8251C" w:rsidP="00A8251C">
      <w:pPr>
        <w:numPr>
          <w:ilvl w:val="0"/>
          <w:numId w:val="1"/>
        </w:numPr>
        <w:tabs>
          <w:tab w:val="left" w:pos="566"/>
        </w:tabs>
        <w:jc w:val="both"/>
        <w:rPr>
          <w:rFonts w:ascii="SLO_Bookman" w:hAnsi="SLO_Bookman"/>
          <w:sz w:val="24"/>
        </w:rPr>
      </w:pPr>
      <w:r>
        <w:rPr>
          <w:rFonts w:ascii="SLO_Bookman" w:hAnsi="SLO_Bookman"/>
          <w:sz w:val="24"/>
        </w:rPr>
        <w:t>Dokler se ne bodo iz deželnega sklada štajerskega v razmerju števila Slovencev in njihovih prineskov napravili in vzdrževali slovenski zavodi, na primer slovenske realke, gospodarske šole.</w:t>
      </w:r>
    </w:p>
    <w:p w:rsidR="00397169" w:rsidRDefault="00A8251C" w:rsidP="00A8251C">
      <w:pPr>
        <w:numPr>
          <w:ilvl w:val="0"/>
          <w:numId w:val="1"/>
        </w:numPr>
        <w:tabs>
          <w:tab w:val="left" w:pos="283"/>
        </w:tabs>
        <w:ind w:left="283"/>
        <w:jc w:val="both"/>
        <w:rPr>
          <w:rFonts w:ascii="SLO_Bookman" w:hAnsi="SLO_Bookman"/>
          <w:sz w:val="24"/>
        </w:rPr>
      </w:pPr>
      <w:r>
        <w:rPr>
          <w:rFonts w:ascii="SLO_Bookman" w:hAnsi="SLO_Bookman"/>
          <w:sz w:val="24"/>
        </w:rPr>
        <w:t>Dokler ne bodo dodane temu izvršilne postave in dejansko vpeljane in dokler se ne bo posameznim deželam dala večja samoupravna oblast.”</w:t>
      </w:r>
    </w:p>
    <w:p w:rsidR="00397169" w:rsidRDefault="00A8251C">
      <w:pPr>
        <w:jc w:val="both"/>
        <w:rPr>
          <w:rFonts w:ascii="SLO_Bookman" w:hAnsi="SLO_Bookman"/>
          <w:sz w:val="24"/>
        </w:rPr>
      </w:pPr>
      <w:r>
        <w:rPr>
          <w:rFonts w:ascii="SLO_Bookman" w:hAnsi="SLO_Bookman"/>
          <w:sz w:val="28"/>
        </w:rPr>
        <w:t xml:space="preserve"> </w:t>
      </w:r>
      <w:r>
        <w:rPr>
          <w:rFonts w:ascii="SLO_Bookman" w:hAnsi="SLO_Bookman"/>
          <w:sz w:val="24"/>
        </w:rPr>
        <w:t>Drugi tabor je bil 6.9. istega leta v Žalcu, a tretji 18.10. v Šempasu na Primorskem. Leta 1869 so bili tabori pri Biljani v Goriških Brdih (25.4.), v Sevnici (2.5.), na Kalcu na Notranjskem (9.5.), v Vižmarjih (17.5.) in Ormožu (8.8.). Naslednjega leta so bili tabori v Tolminu, Sežani, Cerknici, pri Kapeli pod Radgono, v Kubedu na Koprskem, na Bistrici v Pliberku, v Žopračah blizu Rožeka in v Vipavi. Leta 1871 sta bila tabora še v Kastavu v hrvaški Istri in v Buhljah pri Grabštajnu na Koroškem.</w:t>
      </w:r>
    </w:p>
    <w:p w:rsidR="00397169" w:rsidRDefault="00A8251C">
      <w:pPr>
        <w:jc w:val="both"/>
        <w:rPr>
          <w:rFonts w:ascii="SLO_Bookman" w:hAnsi="SLO_Bookman"/>
          <w:sz w:val="24"/>
        </w:rPr>
      </w:pPr>
      <w:r>
        <w:rPr>
          <w:rFonts w:ascii="SLO_Bookman" w:hAnsi="SLO_Bookman"/>
          <w:sz w:val="24"/>
        </w:rPr>
        <w:t xml:space="preserve"> Udeležba na taborih se je gibala večinoma od 5000 do 6000 in več, v Vižmarjih je bilo celo do 30.000 ljudi. Prihajali so peš in na konjih, oblečeni v narodne noše in okrašeni s slovenskimi zastavami ali na okrašenih vozeh ob zvokih glasbe. Zlasti priljubljena po svoji ljudski, živi besedi in navdušenju, ki sta ga znala vzbuditi, sta bila med govorniki na taborih pravnik dr. Valentin Zarnik in duhovnik Božidar Raič. Govore na taborih so spremljale resolucije, zahteve po Zedinjeni Sloveniji, po uvedbi slovenščine v urade in šole, po ustanovitvi strokovnih, zlasti kmetijskih šol, univerze in podobno. Razpravljali so tudi o perečih gospodarskih vprašanjih. Nasploh niso govorili o obrambi vere, niso poudarjali zveze z nemškimi konservativnimi krogi, pač pa so se na njih zbliževale slovenske pokrajine med seboj in vedno bolj so poudarjali zvezo z ostalimi jugoslovanskimi narodi v monarhiji tako v avstrijski kot v ogrski polovici.</w:t>
      </w:r>
    </w:p>
    <w:p w:rsidR="00397169" w:rsidRDefault="00A8251C">
      <w:pPr>
        <w:jc w:val="both"/>
        <w:rPr>
          <w:rFonts w:ascii="SLO_Bookman" w:hAnsi="SLO_Bookman"/>
          <w:sz w:val="24"/>
        </w:rPr>
      </w:pPr>
      <w:r>
        <w:rPr>
          <w:rFonts w:ascii="SLO_Bookman" w:hAnsi="SLO_Bookman"/>
          <w:sz w:val="24"/>
        </w:rPr>
        <w:t xml:space="preserve"> Staroslovenci so se v letu 1869, ko so videli odziv ljudstva in moč taborskega gibanja, ter v strahu, da ne bi ostali osamljeni, pridružili taborski ideji in tudi sami začeli nastopati na taborih. Zlasti največji tabor, v Vižmarjih pri Ljubljani, je bil v znamenju skupnega nastopa in je na njem govoril tudi Bleiweis in svoj govor zaključil s previdnim vzklikom: “Dajte nam Slovenijo!”</w:t>
      </w:r>
    </w:p>
    <w:p w:rsidR="00397169" w:rsidRDefault="00A8251C">
      <w:pPr>
        <w:jc w:val="both"/>
        <w:rPr>
          <w:rFonts w:ascii="SLO_Bookman" w:hAnsi="SLO_Bookman"/>
          <w:sz w:val="24"/>
        </w:rPr>
      </w:pPr>
      <w:r>
        <w:rPr>
          <w:rFonts w:ascii="SLO_Bookman" w:hAnsi="SLO_Bookman"/>
          <w:sz w:val="24"/>
        </w:rPr>
        <w:t xml:space="preserve"> Zahteva po Zedinjeni Sloveniji se je s taborov prenesla tudi v deželne zbore. Septembra 1868 so zahtevo po Zedinjeni Sloveniji slovenski poslanci postavljali v štajerskem in kranjskem deželnem zboru. Mihael Hermann je v štajerskem deželnem zboru poudarjal, da je pri nas vsemogočen tujec, da je Slovenec v svoji lastni hiši hlapec. Leta 1869 naj bi se zlasti na pritisk mladoslovencev zahteve po Zedinjeni Sloveniji v deželnih zborih še stopnjevale. Res sta bila oktobra v goriškem in štajerskem deželnem zboru postavljeni interpelaciji, ali je vlada pripravljena ustreči slovenskim željam po Zedinjeni Sloveniji. V kranjskem deželnem zboru, ki je imel slovensko večino, pa naj bi sprejeli glede Zedinjene Slovenije v istem mesecu posebno resolucijo, ki jo je v zelo nekonkretni in zmerni obliki sestavil odbor. Zahtevala je povečano avtonomijo vseh dežel, deželnim zborom pa naj se “pusti na prosto voljo, po svojih historiško-pravnih razmerah, po narodnem soplemenstvu ali z ozirom na financialne ali sploh materialne okoliščine združiti v državno pravno skupino”. Ko pa bi morala priti na dnevni red, je vlada zasedanje deželnega zbora povsem nepričakovano in predčasno zaključila.</w:t>
      </w:r>
    </w:p>
    <w:p w:rsidR="00397169" w:rsidRDefault="00A8251C">
      <w:pPr>
        <w:jc w:val="both"/>
        <w:rPr>
          <w:rFonts w:ascii="SLO_Bookman" w:hAnsi="SLO_Bookman"/>
          <w:sz w:val="24"/>
        </w:rPr>
      </w:pPr>
      <w:r>
        <w:rPr>
          <w:rFonts w:ascii="SLO_Bookman" w:hAnsi="SLO_Bookman"/>
          <w:sz w:val="24"/>
        </w:rPr>
        <w:lastRenderedPageBreak/>
        <w:t xml:space="preserve"> Tako besedilo resolucije je spet izzvalo ogorčenje pri mladoslovencih. “To hoče biti resolucija za Zedinjeno Slovenijo, pa si tega zedinjenja z imenom še imenovati ne upa,” je pisal Slovenski narod. Tudi v državnem zboru o Zedinjeni Sloveniji ni spregovoril nihče od slovenskih poslancev. Šele leta 1870 so v kranjskem deželnem zboru odkrito zahtevali Zedinjeno Slovenijo. Spomenica, sprejeta 30.8., je izrazila prepričanje, da bo vladi “mogoče sredstva in pota najti, da bi zadostila slovenskega naroda več kot pred 25 leti izrečeni in potem vedno glasneje ponavljani živi želji po združenji vseh pokrajin, koder prebiva, v eno administrativno in kolikor mogoče državno pravno celoto”.</w:t>
      </w:r>
    </w:p>
    <w:p w:rsidR="00397169" w:rsidRDefault="00A8251C">
      <w:pPr>
        <w:jc w:val="both"/>
        <w:rPr>
          <w:rFonts w:ascii="SLO_Bookman" w:hAnsi="SLO_Bookman"/>
          <w:sz w:val="24"/>
        </w:rPr>
      </w:pPr>
      <w:r>
        <w:rPr>
          <w:rFonts w:ascii="SLO_Bookman" w:hAnsi="SLO_Bookman"/>
          <w:sz w:val="24"/>
        </w:rPr>
        <w:t xml:space="preserve"> Težnje po povezavi Slovencev z ostalimi jugoslovanskimi narodi so prišle najbolj do izraza na </w:t>
      </w:r>
      <w:r>
        <w:rPr>
          <w:rFonts w:ascii="SLO_Bookman" w:hAnsi="SLO_Bookman"/>
          <w:b/>
          <w:sz w:val="24"/>
        </w:rPr>
        <w:t>jugoslovanskem kongresu</w:t>
      </w:r>
      <w:r>
        <w:rPr>
          <w:rFonts w:ascii="SLO_Bookman" w:hAnsi="SLO_Bookman"/>
          <w:sz w:val="24"/>
        </w:rPr>
        <w:t xml:space="preserve"> v Ljubljani od 1.-3.12.1870, ki so se ga udeležili slovenski in hrvaški politiki, od vojvodinskih Srbov pa Laza Kosti}. Po težnjah, ki so izražene v programu, gre kongresu pomembno mesto v naši zgodovini. Z njim je bilo povedano, da žele jugoslovanski narodi v primeru večjih političnih sprememb - obstoj monarhije je bil v času prusko-francoske vojne dokaj negotov - živeti skupaj. Glede konkretnih političnih rešitev je bil program precej nejasen, tako zaradi nesoglasij kot zaradi strahu pred kazenskim preganjanjem. V praktični izvedbi programa je začel 5.1.1871 izhajati v Sisku dnevnik Südslawische Zeitung, ki mu je bil slovenski sourednik Josip Jurčič, a je prenehal že čez pol leta. Do kakega globljega in trajnejšega sodelovanja politikov iz Slovenije, Hrvatske, Dalmacije in Vojvodine pa ni prišlo.</w:t>
      </w:r>
    </w:p>
    <w:p w:rsidR="00397169" w:rsidRDefault="00A8251C">
      <w:pPr>
        <w:jc w:val="both"/>
        <w:rPr>
          <w:rFonts w:ascii="SLO_Bookman" w:hAnsi="SLO_Bookman"/>
          <w:sz w:val="24"/>
        </w:rPr>
      </w:pPr>
      <w:r>
        <w:rPr>
          <w:rFonts w:ascii="SLO_Bookman" w:hAnsi="SLO_Bookman"/>
          <w:sz w:val="24"/>
        </w:rPr>
        <w:t xml:space="preserve"> Ljudstvo je bilo revolucionarno razpoloženo in pripravljeni preliti kri za ustvaritev slovenskega narodnega programa: Zedinjeno Slovenijo. Mnogokje so se pojavljali pretepi in izgredi. Pri volitvah v mestni svet v Ljubljani so leta 1868 Nemci zmagali, ker ni volila nemško samo birokracija, marveč so Nemci dobili večino tudi v prvem, najbogatejšem volilnem razredu. Turnarji, člani telovadne organizacije (Turnverein), povezane z nemškim nacionalizmom, ki je bila v 60. letih ustanovljena tudi pri nas, so v čast zmagi v Ljubljani priredili izzivalni izlet v Mengeš. Na povratku pa so jih kmečki fantje na Ježici strahovito pretepli. Naslednje leto (23.5.1869) so napravili turnarji izlet na Janče z bobni in zastavo; kmetje so jih natepli in jim vzeli zastavo. Na povratku je prišlo do spopada v Vevčah. Turnarji so poklicali orožništvo na pomoč. V spopadu z orožniki so ti do smrti pobili nekega slovenskega fanta. Orožniki so nato vklenili okoli šestdeset mož in fantov. Odpeljali so jih v Ljubljano, kjer so bili nekateri obsojeni na celo do tri leta in pol ječe. Turnarji se odslej naprej niso več upali na deželo. Tudi drugod je ljudstvo kazalo odpor proti Nemcem in zlasti smešilo orožnike, tujce, ki niso znali slovenskega jezika. Leta 1870 je prišlo do pretepa v Novi vasi pri Slovenski Bistrici. Proti taborskemu gibanju so poskušali Nemci organizirati, zlasti na Štajerskem, tudi svoja zborovanja, ki pa razen nemško orientiranega meščanstva in nekaj kmečkih veljakov niso mogla pritegniti večjega števila ljudi.</w:t>
      </w:r>
    </w:p>
    <w:p w:rsidR="00397169" w:rsidRDefault="00A8251C">
      <w:pPr>
        <w:jc w:val="both"/>
        <w:rPr>
          <w:rFonts w:ascii="SLO_Bookman" w:hAnsi="SLO_Bookman"/>
          <w:sz w:val="24"/>
        </w:rPr>
      </w:pPr>
      <w:r>
        <w:rPr>
          <w:rFonts w:ascii="SLO_Bookman" w:hAnsi="SLO_Bookman"/>
          <w:sz w:val="24"/>
        </w:rPr>
        <w:t xml:space="preserve"> V Zedinjeni Sloveniji, v odstranitvi tujega uradništva in tuje gospode je videlo ljudstvo tudi rešitev iz gospodarske krize, ki je vedno bolj zajemala zlasti podeželje. Prav povezava gospodarskih in družbenih momentov z nacionalnimi in političnimi je dala taborskemu gibanju tako moč in razgibanost in omogočila ožjo povezavo med slovensko liberalno buržoazijo in slovenskimi kmečkimi množicami. Nemški krogi so pravilno ocenili taborsko gibanje slovenskega ljudstva. Kranjski deželni predsednik Conrad je prosil za vojaško okrepitev, za obsedno stanje in je naročal okrajnim glavarjem, naj tabore preprečijo. Toda do revolucije ni prišlo, slovenska buržoazija ni šla v revolucijo za ustvaritev Zedinjene Slovenije.</w:t>
      </w:r>
    </w:p>
    <w:p w:rsidR="00397169" w:rsidRDefault="00A8251C">
      <w:pPr>
        <w:jc w:val="both"/>
        <w:rPr>
          <w:rFonts w:ascii="SLO_Bookman" w:hAnsi="SLO_Bookman"/>
          <w:sz w:val="24"/>
        </w:rPr>
      </w:pPr>
      <w:r>
        <w:rPr>
          <w:rFonts w:ascii="SLO_Bookman" w:hAnsi="SLO_Bookman"/>
          <w:sz w:val="24"/>
        </w:rPr>
        <w:t xml:space="preserve"> Liberalna zakonodaja, ki jo je začel sprejemati državni zbor leta 1867 in ki ji je slovenska stranka kljub notranjim trenjem med mladoslovenci in staroslovenci v celoti nasprotovala, se je nadaljevala še v naslednjih letih. Zlasti pomemben je bil zakon o temeljih pouka na osnovnih šolah z dne 14.5.1869, ki je končno vzel cerkvi s konkordatom določeno veljavo v šoli. Dolgotrajni boj okrog konkordata pa je bil zaključen, ko je julija 1870 vlada odpovedala konkordat, češ da je proglasitev dogme o papeževi nezmotljivosti, ki jo je sprejel vatikanski koncil (1870), osvobodila Avstrijo sprejetih obveznosti.</w:t>
      </w:r>
    </w:p>
    <w:p w:rsidR="00397169" w:rsidRDefault="00A8251C">
      <w:pPr>
        <w:jc w:val="both"/>
        <w:rPr>
          <w:rFonts w:ascii="SLO_Bookman" w:hAnsi="SLO_Bookman"/>
          <w:sz w:val="24"/>
        </w:rPr>
      </w:pPr>
      <w:r>
        <w:rPr>
          <w:rFonts w:ascii="SLO_Bookman" w:hAnsi="SLO_Bookman"/>
          <w:sz w:val="24"/>
        </w:rPr>
        <w:t xml:space="preserve"> Leto 1870 je prineslo še dvoje pomembnih dogodkov s političnega in kulturnega področja. Josip Stritar je začel na Dunaju izdajati “lepoznanski list” Zvon, ki mu je naslov verjetno posnel po imenu ruskega demokratičnega revolucionarja Hercena in ki je pomenil v slovenskem kulturnem življenju velik korak naprej. V Zvonu so postavljali o umetnosti povsem drugačna estetska stališča, kakor pa jih je bil vajen slovenski moralistični klerikalizem in prakticistični utilitarizem prvakov. V Zvonu objavljeni Šukljetov članek o francoski revoluciji se je postavljal odkrito na stališče revolucionarne buržoazije, ki se je dvigala proti fevdalnemu redu. Tak Zvon je seveda zbudil ostre napade klerikalcev in konservativcev in ga je Stritar konec leta opustil. Istega leta je prav tako na Dunaju začel Levstik izdajati zabavljivo šaljiv list Pavliha. S svojo ostro kritiko proti mlačnosti, oportunizmu, paktiranju in nenačelnosti tudi pri mladoslovencih se je Levstik zameril celotnemu slovenskemu političnemu vodstvu z liberalci vred. Obdolžili so ga, da je podkupljen od vlade in da izdaja Pavliho z njeno pomočjo. Pavliha je moral že po sedmi številki prenehati, Levstik pa se je umaknil iz aktivnega političnega življenja. Tako sta oba najbolj dosledna in najbolj napredna časopisa nehala ne toliko zaradi odpora iz konservativnih vrst kakor zato, ker sta se zamerila vodstvu mladoslovencev.</w:t>
      </w:r>
    </w:p>
    <w:p w:rsidR="00397169" w:rsidRDefault="00A8251C">
      <w:pPr>
        <w:jc w:val="both"/>
        <w:rPr>
          <w:rFonts w:ascii="SLO_Bookman" w:hAnsi="SLO_Bookman"/>
          <w:sz w:val="24"/>
        </w:rPr>
      </w:pPr>
      <w:r>
        <w:rPr>
          <w:rFonts w:ascii="SLO_Bookman" w:hAnsi="SLO_Bookman"/>
          <w:sz w:val="24"/>
        </w:rPr>
        <w:t xml:space="preserve"> Taborsko gibanje, ki se je pod liberalnimi vladami še sorazmerno svobodno razvijalo, je začela prepovedovati vlada Potockega in je povsem zamrlo po konservativnim Hohenwartom. Najprej so tabore prepovedovali zaradi francosko-pruske vojne, pozneje pa zaradi slovenskih in jugoslovanskih točk dnevnega reda, češ da bi vzbujale sovraštvo med narodi, nezaupanje v vlado in nemir med ljudstvom.</w:t>
      </w:r>
    </w:p>
    <w:p w:rsidR="00397169" w:rsidRDefault="00A8251C">
      <w:pPr>
        <w:jc w:val="both"/>
        <w:rPr>
          <w:rFonts w:ascii="SLO_Bookman" w:hAnsi="SLO_Bookman"/>
          <w:sz w:val="24"/>
        </w:rPr>
      </w:pPr>
      <w:r>
        <w:rPr>
          <w:rFonts w:ascii="SLO_Bookman" w:hAnsi="SLO_Bookman"/>
          <w:sz w:val="24"/>
        </w:rPr>
        <w:t xml:space="preserve"> Tako sta bila prepovedana tabora v Lescah na Gorenjskem in v Renčah na Goriškem, priprave za več drugih pa so opustili, ker ni bilo upanja, da bi jih oblasti dovolile.</w:t>
      </w:r>
    </w:p>
    <w:p w:rsidR="00397169" w:rsidRDefault="00A8251C">
      <w:pPr>
        <w:jc w:val="both"/>
        <w:rPr>
          <w:rFonts w:ascii="SLO_Bookman" w:hAnsi="SLO_Bookman"/>
          <w:sz w:val="24"/>
        </w:rPr>
      </w:pPr>
      <w:r>
        <w:rPr>
          <w:rFonts w:ascii="SLO_Bookman" w:hAnsi="SLO_Bookman"/>
          <w:sz w:val="24"/>
        </w:rPr>
        <w:t xml:space="preserve"> Nimamo še dovolj jasne podobe o tem, zakaj pod nemškoliberalno vlado v letu 1872 taborska aktivnost ni bila obnovljena, ali so na to vplivale domače razmere in trenja med obema slovenskima strujama, splošne razmere v monarhiji, češka politika ali drugi razlogi.</w:t>
      </w: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rPr>
          <w:rFonts w:ascii="SLO_Bookman" w:hAnsi="SLO_Bookman"/>
          <w:sz w:val="24"/>
        </w:rPr>
      </w:pPr>
    </w:p>
    <w:p w:rsidR="00397169" w:rsidRDefault="00397169">
      <w:pPr>
        <w:jc w:val="both"/>
      </w:pPr>
    </w:p>
    <w:sectPr w:rsidR="00397169">
      <w:footerReference w:type="even" r:id="rId7"/>
      <w:footerReference w:type="default" r:id="rId8"/>
      <w:footnotePr>
        <w:pos w:val="beneathText"/>
      </w:footnotePr>
      <w:pgSz w:w="11905" w:h="16837"/>
      <w:pgMar w:top="851" w:right="851" w:bottom="851" w:left="851"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169" w:rsidRDefault="00A8251C">
      <w:r>
        <w:separator/>
      </w:r>
    </w:p>
  </w:endnote>
  <w:endnote w:type="continuationSeparator" w:id="0">
    <w:p w:rsidR="00397169" w:rsidRDefault="00A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O_Dutch">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LO_Bookman">
    <w:altName w:val="Calibri"/>
    <w:charset w:val="00"/>
    <w:family w:val="auto"/>
    <w:pitch w:val="variable"/>
    <w:sig w:usb0="00000007" w:usb1="00000000" w:usb2="00000000" w:usb3="00000000" w:csb0="0000001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69" w:rsidRDefault="00A8251C">
    <w:pPr>
      <w:pStyle w:val="Footer"/>
      <w:framePr w:h="210" w:wrap="around" w:vAnchor="text" w:hAnchor="text" w:xAlign="center" w:y="1"/>
    </w:pPr>
    <w:r>
      <w:rPr>
        <w:rStyle w:val="PageNumber"/>
      </w:rPr>
      <w:t xml:space="preserve"> PAGE 5</w:t>
    </w:r>
  </w:p>
  <w:p w:rsidR="00397169" w:rsidRDefault="0039716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69" w:rsidRDefault="00A8251C">
    <w:pPr>
      <w:pStyle w:val="Footer"/>
      <w:framePr w:h="210" w:wrap="around" w:vAnchor="text" w:hAnchor="text" w:xAlign="center" w:y="1"/>
    </w:pPr>
    <w:r>
      <w:rPr>
        <w:rStyle w:val="PageNumber"/>
      </w:rPr>
      <w:t xml:space="preserve"> PAGE 5</w:t>
    </w:r>
  </w:p>
  <w:p w:rsidR="00397169" w:rsidRDefault="0039716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169" w:rsidRDefault="00A8251C">
      <w:r>
        <w:separator/>
      </w:r>
    </w:p>
  </w:footnote>
  <w:footnote w:type="continuationSeparator" w:id="0">
    <w:p w:rsidR="00397169" w:rsidRDefault="00A8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D2372"/>
    <w:multiLevelType w:val="singleLevel"/>
    <w:tmpl w:val="2A487BC8"/>
    <w:lvl w:ilvl="0">
      <w:start w:val="1"/>
      <w:numFmt w:val="decimal"/>
      <w:lvlText w:val="%1."/>
      <w:legacy w:legacy="1" w:legacySpace="0" w:legacyIndent="283"/>
      <w:lvlJc w:val="left"/>
      <w:pPr>
        <w:ind w:left="566"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evenAndOddHeaders/>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51C"/>
    <w:rsid w:val="00140C0E"/>
    <w:rsid w:val="00397169"/>
    <w:rsid w:val="00A825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rFonts w:ascii="SLO_Dutch" w:hAnsi="SLO_Dutch"/>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2382</Words>
  <Characters>13582</Characters>
  <Application>Microsoft Office Word</Application>
  <DocSecurity>0</DocSecurity>
  <Lines>113</Lines>
  <Paragraphs>31</Paragraphs>
  <ScaleCrop>false</ScaleCrop>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