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43" w:rsidRPr="00DA23E9" w:rsidRDefault="00DA23E9" w:rsidP="00DA23E9">
      <w:pPr>
        <w:rPr>
          <w:rStyle w:val="ecxapple-style-span"/>
          <w:b/>
          <w:lang w:val="sl-SI"/>
        </w:rPr>
      </w:pPr>
      <w:bookmarkStart w:id="0" w:name="_GoBack"/>
      <w:bookmarkEnd w:id="0"/>
      <w:r w:rsidRPr="00DA23E9">
        <w:rPr>
          <w:rStyle w:val="ecxapple-style-span"/>
          <w:b/>
          <w:lang w:val="sl-SI"/>
        </w:rPr>
        <w:t>OBLIKOVANJE NOTRANJE AVSTRIJE IN VZPOSTAVITEV VOJNE KRAJINE</w:t>
      </w:r>
    </w:p>
    <w:p w:rsidR="00DA23E9" w:rsidRPr="006B763E" w:rsidRDefault="00DA23E9" w:rsidP="00DA23E9">
      <w:pPr>
        <w:pStyle w:val="Heading4"/>
        <w:rPr>
          <w:rFonts w:ascii="Calibri" w:hAnsi="Calibri"/>
          <w:color w:val="auto"/>
          <w:lang w:eastAsia="sl-SI"/>
        </w:rPr>
      </w:pPr>
      <w:r w:rsidRPr="006B763E">
        <w:rPr>
          <w:rFonts w:ascii="Calibri" w:hAnsi="Calibri"/>
          <w:color w:val="auto"/>
          <w:lang w:eastAsia="sl-SI"/>
        </w:rPr>
        <w:t>NOTRANJA AVSTRIJA</w:t>
      </w:r>
    </w:p>
    <w:p w:rsidR="00DA23E9" w:rsidRPr="00DA23E9" w:rsidRDefault="00DA23E9" w:rsidP="00DA23E9">
      <w:pPr>
        <w:spacing w:line="360" w:lineRule="auto"/>
        <w:jc w:val="both"/>
        <w:rPr>
          <w:rFonts w:cs="Tahoma"/>
          <w:lang w:val="sl-SI"/>
        </w:rPr>
      </w:pPr>
      <w:r w:rsidRPr="00DA23E9">
        <w:rPr>
          <w:rFonts w:cs="Tahoma"/>
          <w:lang w:val="sl-SI"/>
        </w:rPr>
        <w:t xml:space="preserve">Notranja Avstrija je bil skupek </w:t>
      </w:r>
      <w:hyperlink r:id="rId5" w:tooltip="Habsburžani" w:history="1">
        <w:r w:rsidRPr="006B763E">
          <w:rPr>
            <w:rStyle w:val="Heading2Char"/>
            <w:rFonts w:ascii="Calibri" w:eastAsia="Calibri" w:hAnsi="Calibri" w:cs="Tahoma"/>
            <w:b w:val="0"/>
            <w:sz w:val="22"/>
            <w:szCs w:val="22"/>
          </w:rPr>
          <w:t>habsburških</w:t>
        </w:r>
      </w:hyperlink>
      <w:r w:rsidRPr="00DA23E9">
        <w:rPr>
          <w:rFonts w:cs="Tahoma"/>
          <w:lang w:val="sl-SI"/>
        </w:rPr>
        <w:t xml:space="preserve"> dežel. Obsegala je dežele </w:t>
      </w:r>
      <w:hyperlink r:id="rId6" w:tooltip="Štajerska (vojvodina)" w:history="1">
        <w:r w:rsidRPr="006B763E">
          <w:rPr>
            <w:rStyle w:val="Heading2Char"/>
            <w:rFonts w:ascii="Calibri" w:eastAsia="Calibri" w:hAnsi="Calibri" w:cs="Tahoma"/>
            <w:b w:val="0"/>
            <w:sz w:val="22"/>
            <w:szCs w:val="22"/>
          </w:rPr>
          <w:t>Štajersko</w:t>
        </w:r>
      </w:hyperlink>
      <w:r w:rsidRPr="00DA23E9">
        <w:rPr>
          <w:rFonts w:cs="Tahoma"/>
          <w:lang w:val="sl-SI"/>
        </w:rPr>
        <w:t xml:space="preserve">, </w:t>
      </w:r>
      <w:hyperlink r:id="rId7" w:tooltip="Koroška (vojvodina)" w:history="1">
        <w:r w:rsidRPr="006B763E">
          <w:rPr>
            <w:rStyle w:val="Heading2Char"/>
            <w:rFonts w:ascii="Calibri" w:eastAsia="Calibri" w:hAnsi="Calibri" w:cs="Tahoma"/>
            <w:b w:val="0"/>
            <w:sz w:val="22"/>
            <w:szCs w:val="22"/>
          </w:rPr>
          <w:t>Koroško</w:t>
        </w:r>
      </w:hyperlink>
      <w:r w:rsidRPr="00DA23E9">
        <w:rPr>
          <w:rFonts w:cs="Tahoma"/>
          <w:b/>
          <w:lang w:val="sl-SI"/>
        </w:rPr>
        <w:t xml:space="preserve">, </w:t>
      </w:r>
      <w:hyperlink r:id="rId8" w:tooltip="Kranjska" w:history="1">
        <w:r w:rsidRPr="006B763E">
          <w:rPr>
            <w:rStyle w:val="Heading2Char"/>
            <w:rFonts w:ascii="Calibri" w:eastAsia="Calibri" w:hAnsi="Calibri" w:cs="Tahoma"/>
            <w:b w:val="0"/>
            <w:sz w:val="22"/>
            <w:szCs w:val="22"/>
          </w:rPr>
          <w:t>Kranjsko</w:t>
        </w:r>
      </w:hyperlink>
      <w:r w:rsidRPr="00DA23E9">
        <w:rPr>
          <w:rFonts w:cs="Tahoma"/>
          <w:b/>
          <w:lang w:val="sl-SI"/>
        </w:rPr>
        <w:t xml:space="preserve"> </w:t>
      </w:r>
      <w:r w:rsidRPr="00DA23E9">
        <w:rPr>
          <w:rFonts w:cs="Tahoma"/>
          <w:lang w:val="sl-SI"/>
        </w:rPr>
        <w:t>in</w:t>
      </w:r>
      <w:r w:rsidRPr="00DA23E9">
        <w:rPr>
          <w:rFonts w:cs="Tahoma"/>
          <w:b/>
          <w:lang w:val="sl-SI"/>
        </w:rPr>
        <w:t xml:space="preserve"> </w:t>
      </w:r>
      <w:hyperlink r:id="rId9" w:tooltip="Avstrijsko primorje" w:history="1">
        <w:r w:rsidRPr="006B763E">
          <w:rPr>
            <w:rStyle w:val="Heading2Char"/>
            <w:rFonts w:ascii="Calibri" w:eastAsia="Calibri" w:hAnsi="Calibri" w:cs="Tahoma"/>
            <w:b w:val="0"/>
            <w:sz w:val="22"/>
            <w:szCs w:val="22"/>
          </w:rPr>
          <w:t>Avstrijsko primorje</w:t>
        </w:r>
      </w:hyperlink>
      <w:r w:rsidRPr="00DA23E9">
        <w:rPr>
          <w:rFonts w:cs="Tahoma"/>
          <w:lang w:val="sl-SI"/>
        </w:rPr>
        <w:t>. Izraz se je uporabljal od konca 14. do začetka 17. stoletja.</w:t>
      </w:r>
    </w:p>
    <w:p w:rsidR="00DA23E9" w:rsidRPr="00DA23E9" w:rsidRDefault="00DA23E9" w:rsidP="00DA23E9">
      <w:pPr>
        <w:autoSpaceDE w:val="0"/>
        <w:autoSpaceDN w:val="0"/>
        <w:adjustRightInd w:val="0"/>
        <w:spacing w:after="0" w:line="360" w:lineRule="auto"/>
        <w:jc w:val="both"/>
        <w:rPr>
          <w:rFonts w:cs="Tahoma"/>
          <w:lang w:val="es-ES_tradnl"/>
        </w:rPr>
      </w:pPr>
      <w:r w:rsidRPr="00DA23E9">
        <w:rPr>
          <w:rFonts w:cs="Tahoma"/>
          <w:lang w:val="sl-SI"/>
        </w:rPr>
        <w:t>Dežele Štajerska, Koroška in Kranjska ter Goriška (po letu 1500), so se povezale v skupino imenovano Notranja Avstrija oz Notranjeavstrijske dežele. Namen povezave je bila učinkovita obramba proti Turkom. Še posebej trdno so se povezale od leta 1530</w:t>
      </w:r>
      <w:r w:rsidRPr="00DA23E9">
        <w:rPr>
          <w:rFonts w:cs="Tahoma"/>
          <w:b/>
          <w:lang w:val="sl-SI"/>
        </w:rPr>
        <w:t xml:space="preserve">,  </w:t>
      </w:r>
      <w:r w:rsidRPr="00DA23E9">
        <w:rPr>
          <w:rFonts w:cs="Tahoma"/>
          <w:lang w:val="sl-SI"/>
        </w:rPr>
        <w:t>ko je bil sprejet sklep</w:t>
      </w:r>
      <w:r w:rsidRPr="00DA23E9">
        <w:rPr>
          <w:rFonts w:cs="Tahoma"/>
          <w:b/>
          <w:lang w:val="sl-SI"/>
        </w:rPr>
        <w:t xml:space="preserve"> </w:t>
      </w:r>
      <w:r w:rsidRPr="00DA23E9">
        <w:rPr>
          <w:rFonts w:cs="Tahoma"/>
          <w:lang w:val="sl-SI"/>
        </w:rPr>
        <w:t>o imenovanju skupnega vojaškega vodstva. Nadvojvoda Karel II. jih je povezal v skorajda samostojno državno, Gradec</w:t>
      </w:r>
      <w:r w:rsidRPr="00DA23E9">
        <w:rPr>
          <w:rFonts w:cs="Tahoma"/>
          <w:b/>
          <w:lang w:val="sl-SI"/>
        </w:rPr>
        <w:t xml:space="preserve"> </w:t>
      </w:r>
      <w:r w:rsidRPr="00DA23E9">
        <w:rPr>
          <w:rFonts w:cs="Tahoma"/>
          <w:lang w:val="sl-SI"/>
        </w:rPr>
        <w:t xml:space="preserve">je prevzel vlogo glavnega mesta. </w:t>
      </w:r>
      <w:r w:rsidRPr="00DA23E9">
        <w:rPr>
          <w:rFonts w:cs="Tahoma"/>
          <w:lang w:val="es-ES_tradnl"/>
        </w:rPr>
        <w:t xml:space="preserve">Ustanovil je enake osrednje urade, kot so bili na Dunaju. </w:t>
      </w:r>
    </w:p>
    <w:p w:rsidR="00DA23E9" w:rsidRPr="00DA23E9" w:rsidRDefault="00DA23E9" w:rsidP="00DA23E9">
      <w:pPr>
        <w:autoSpaceDE w:val="0"/>
        <w:autoSpaceDN w:val="0"/>
        <w:adjustRightInd w:val="0"/>
        <w:spacing w:after="0" w:line="360" w:lineRule="auto"/>
        <w:jc w:val="both"/>
        <w:rPr>
          <w:rFonts w:cs="Tahoma"/>
          <w:lang w:val="es-ES_tradnl"/>
        </w:rPr>
      </w:pPr>
    </w:p>
    <w:p w:rsidR="00DA23E9" w:rsidRPr="00DA23E9" w:rsidRDefault="00DA23E9" w:rsidP="00DA23E9">
      <w:pPr>
        <w:autoSpaceDE w:val="0"/>
        <w:autoSpaceDN w:val="0"/>
        <w:adjustRightInd w:val="0"/>
        <w:spacing w:after="0" w:line="360" w:lineRule="auto"/>
        <w:jc w:val="both"/>
        <w:rPr>
          <w:rFonts w:cs="Tahoma"/>
        </w:rPr>
      </w:pPr>
      <w:r w:rsidRPr="00DA23E9">
        <w:rPr>
          <w:rFonts w:cs="Tahoma"/>
          <w:lang w:val="es-ES_tradnl"/>
        </w:rPr>
        <w:t>V času vladanja cesarja Maksimilijana I. ( 1508 – 1519) je bilo redčenje turških vpadov tesno povezano s krepitvijo obrambe habsburških dežel. Maksimilijan I. je biol sposoben vladar, za katerega viri navajajo, da je znal združiti srednjeveško miselnost z izzivi novoveškega razumevanja države. Zaradi svojih zmožnosti, si je tudi prislužil naziv »zadnji vitez« in »prvi landcknecht«.</w:t>
      </w:r>
      <w:r w:rsidRPr="00DA23E9">
        <w:rPr>
          <w:rFonts w:cs="Tahoma"/>
          <w:lang w:val="es-ES_tradnl"/>
        </w:rPr>
        <w:br/>
      </w:r>
      <w:r w:rsidRPr="00DA23E9">
        <w:rPr>
          <w:rFonts w:cs="Tahoma"/>
          <w:b/>
          <w:lang w:val="es-ES_tradnl"/>
        </w:rPr>
        <w:br/>
        <w:t>»</w:t>
      </w:r>
      <w:r w:rsidRPr="00DA23E9">
        <w:rPr>
          <w:rFonts w:cs="Tahoma"/>
          <w:i/>
          <w:lang w:val="es-ES_tradnl"/>
        </w:rPr>
        <w:t>Maksimiljan 1. Je bil sposoben vladar. Združit je znal srednjeveško miselnost z izzivi novoveškega razumevanja države. Kot občudovalca skorajda že popolnoma presežene viteške morale, zagovornika preporoda viteških idealov življenja ter ustanavljanja viteških redov in pobudnik križarskih vojn se ga je prijel nadimek »zadnji vitez«. Z reformami na področju financ, vojske ter sodstva in uprave in iz teh reform izpeljanimi centralnimi uradi in postavljenimi uradniki pa je postal Maksimilijan znanilec nove ideologije – absolutizma. /…/ V uvajanju in uveljavljanju najemniške vojske je videl možnost, da organizirata stalno cesarsko vojsko in tako zmanjša svojo odvisnost od plemstva, organiziranega v državne in deželne zbore. Maksimiljan 1. je težil k centralizmu; možnost uresničitve idej je videl v naslonitvi na novo obliko najemniške vojske. Poleg »zadnjega viteza« je dobil še nadimek, ki je označeval nemškega najemniškega vojaka, »prvi landcknecht«.</w:t>
      </w:r>
      <w:r w:rsidRPr="00DA23E9">
        <w:rPr>
          <w:rFonts w:cs="Tahoma"/>
          <w:b/>
          <w:i/>
          <w:lang w:val="es-ES_tradnl"/>
        </w:rPr>
        <w:t>«</w:t>
      </w:r>
      <w:r w:rsidRPr="00DA23E9">
        <w:rPr>
          <w:rFonts w:cs="Tahoma"/>
          <w:lang w:val="es-ES_tradnl"/>
        </w:rPr>
        <w:t xml:space="preserve"> (Vasko Simoniti: Turki so v deželi že (Turški vpadi na slovensko ozemlje v  15. in 16. </w:t>
      </w:r>
      <w:r w:rsidRPr="00DA23E9">
        <w:rPr>
          <w:rFonts w:cs="Tahoma"/>
        </w:rPr>
        <w:t>Stoletju), Moharjeva družba, Celje 1990, str. 107.).</w:t>
      </w:r>
    </w:p>
    <w:p w:rsidR="00DA23E9" w:rsidRPr="00DA23E9" w:rsidRDefault="00DA23E9" w:rsidP="00DA23E9">
      <w:pPr>
        <w:autoSpaceDE w:val="0"/>
        <w:autoSpaceDN w:val="0"/>
        <w:adjustRightInd w:val="0"/>
        <w:spacing w:after="0" w:line="360" w:lineRule="auto"/>
        <w:jc w:val="both"/>
        <w:rPr>
          <w:rFonts w:cs="Tahoma"/>
        </w:rPr>
      </w:pPr>
    </w:p>
    <w:p w:rsidR="00DA23E9" w:rsidRPr="00DA23E9" w:rsidRDefault="00DA23E9" w:rsidP="00DA23E9">
      <w:pPr>
        <w:autoSpaceDE w:val="0"/>
        <w:autoSpaceDN w:val="0"/>
        <w:adjustRightInd w:val="0"/>
        <w:spacing w:after="0" w:line="360" w:lineRule="auto"/>
        <w:jc w:val="both"/>
        <w:rPr>
          <w:rFonts w:cs="Tahoma"/>
          <w:lang w:val="es-ES_tradnl"/>
        </w:rPr>
      </w:pPr>
      <w:r w:rsidRPr="00DA23E9">
        <w:rPr>
          <w:rFonts w:cs="Tahoma"/>
        </w:rPr>
        <w:t xml:space="preserve"> Leta 1578 je Karel II. ustanovil še vojni svet in takrat je odgovornost za obmejni pas utrdb, ki so ga gradili na Hrvaškem, prešla na Notranjeavstrijske dežele. Deželni stanovi  Notranjeavstrijskih dežel so se zavedali, da je učinkovita obramba odvisna od dobre obveščevalne in signalne organizacije. Poskrbeli so za vohunsko službo v bližnjih turških krajih in za veliko mrežo signalnih točk, prek katerih so z ognjem opozarjali na prihajajočo nevarnost. Zavedali so se, da je protiturško obrambo bolje zasnovati zunaj svojih ozemelj – na Hrvaškem V oskrbo so prevzemali obmejne hrvaške trdnjave. Do leta 1578 so jih v oskrbi imeli že 88. Obrambni pas vzdolž turške meje se je počasi izoblikoval v Vojno </w:t>
      </w:r>
      <w:r w:rsidRPr="00DA23E9">
        <w:rPr>
          <w:rFonts w:cs="Tahoma"/>
        </w:rPr>
        <w:lastRenderedPageBreak/>
        <w:t xml:space="preserve">krajino. </w:t>
      </w:r>
      <w:r w:rsidRPr="00DA23E9">
        <w:rPr>
          <w:rFonts w:cs="Tahoma"/>
          <w:lang w:val="es-ES_tradnl"/>
        </w:rPr>
        <w:t>Od leta 1556 je to ozemlje spadalo pod upravno pristojnost cesarskega dvornega vojnega sveta na Dunaju. Deželni stanovi Notranje Avstrije so dobili pravico v Vojni krajini zasedati najpomembnejša oficirska in uradniška mesta. Ta pravica je bila povezana z financiranjem obrambnih aktivnosti  v Vojni krajini. Notranjeavstrijske dežele so morale v ta namen zagotoviti milijonske vsote , cesarska blagajna pa je prispevala manj kot desetino. Položaj v habsburških deželah zaradi nenehnega napadanja Turkov ni bil najboljši, še posebej, ker se cesarstvo pogosto ni zmenilo za težave posameznikov, vse dokler ni bilo ogrožen njihov lasten položaj, o čemer govori tudi vir.</w:t>
      </w:r>
    </w:p>
    <w:p w:rsidR="00DA23E9" w:rsidRPr="00DA23E9" w:rsidRDefault="00DA23E9" w:rsidP="00DA23E9">
      <w:pPr>
        <w:autoSpaceDE w:val="0"/>
        <w:autoSpaceDN w:val="0"/>
        <w:adjustRightInd w:val="0"/>
        <w:spacing w:after="0" w:line="360" w:lineRule="auto"/>
        <w:jc w:val="both"/>
        <w:rPr>
          <w:rFonts w:cs="Tahoma"/>
          <w:bCs/>
          <w:lang w:val="es-ES_tradnl" w:eastAsia="sl-SI"/>
        </w:rPr>
      </w:pPr>
    </w:p>
    <w:p w:rsidR="00DA23E9" w:rsidRPr="00DA23E9" w:rsidRDefault="00DA23E9" w:rsidP="00DA23E9">
      <w:pPr>
        <w:spacing w:line="360" w:lineRule="auto"/>
        <w:jc w:val="both"/>
        <w:rPr>
          <w:rFonts w:cs="Tahoma"/>
          <w:i/>
          <w:lang w:val="es-ES_tradnl"/>
        </w:rPr>
      </w:pPr>
      <w:r w:rsidRPr="00DA23E9">
        <w:rPr>
          <w:rFonts w:cs="Tahoma"/>
          <w:b/>
          <w:i/>
          <w:lang w:val="es-ES_tradnl"/>
        </w:rPr>
        <w:t>»</w:t>
      </w:r>
      <w:r w:rsidRPr="00DA23E9">
        <w:rPr>
          <w:rFonts w:cs="Tahoma"/>
          <w:i/>
          <w:lang w:val="es-ES_tradnl"/>
        </w:rPr>
        <w:t xml:space="preserve">Tak spis, naslovljen na cesarja, se je pojavil jeseni 1478. Napisal ga je neki neznani menih, ki v pismu svari, naj nihče spisa ne strga, ampak naj pusti, da ga vidi, prebere ali prebranega sliši čim več ljudi. Takoj na začetku spis poziva cesarja: »Vstani iz spanja, v katerem tako dolgo ležiš! /…/ Tvoji podložniki, plemiči in navadni ljudje vojvodine Kranjske in Metlike /…/ te kličejo že dalj kot pol leta s tolažbami za rešitev pred Turki. Korošci kličejo k tebi, ki jih ne pustiš brez tolažbe, Štajerci prosijo za mir in slogo med tvojimi podložniki, da bi se čim močneje mogli upreti sovražniku Kristusovega imena, zato vstani in ne leži dalje« </w:t>
      </w:r>
      <w:r w:rsidRPr="00DA23E9">
        <w:rPr>
          <w:rFonts w:cs="Tahoma"/>
          <w:b/>
          <w:i/>
          <w:lang w:val="es-ES_tradnl"/>
        </w:rPr>
        <w:t>«</w:t>
      </w:r>
      <w:r w:rsidRPr="00DA23E9">
        <w:rPr>
          <w:rFonts w:cs="Tahoma"/>
          <w:lang w:val="es-ES_tradnl"/>
        </w:rPr>
        <w:t xml:space="preserve"> (Vasko Simoniti: Turki so v deželi že (Turški vpadi na slovensko ozemlje v  15. in 16. Stoletju), Moharjeva družba, Celje 1990, str. 72-73.).</w:t>
      </w:r>
      <w:r w:rsidRPr="00DA23E9">
        <w:rPr>
          <w:rFonts w:cs="Tahoma"/>
          <w:i/>
          <w:lang w:val="es-ES_tradnl"/>
        </w:rPr>
        <w:br/>
      </w:r>
      <w:r w:rsidRPr="00DA23E9">
        <w:rPr>
          <w:rFonts w:cs="Tahoma"/>
          <w:lang w:val="es-ES_tradnl"/>
        </w:rPr>
        <w:br/>
      </w:r>
      <w:r w:rsidRPr="00DA23E9">
        <w:rPr>
          <w:rFonts w:cs="Tahoma"/>
          <w:bCs/>
          <w:lang w:val="es-ES_tradnl" w:eastAsia="sl-SI"/>
        </w:rPr>
        <w:t>Seznam notranjeavstrijskih deželnih knezov v novem veku</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Friderik V. (1463 - 90)</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Maksimiljan I. (1493 - 1519)</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Ferdinand (1521 - 64)</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Karel II. (1564 - 90)</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Ferdinand II. (1595 - 1637)</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Ferdinand III. (1637 - 57)</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Leopold I. (1657 - 1705)</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Jožef I. (1705 - 11)</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lang w:eastAsia="sl-SI"/>
        </w:rPr>
        <w:t>Karel IV. (1711 - 40)</w:t>
      </w:r>
    </w:p>
    <w:p w:rsidR="00DA23E9" w:rsidRPr="00DA23E9" w:rsidRDefault="00DA23E9" w:rsidP="00DA23E9">
      <w:pPr>
        <w:numPr>
          <w:ilvl w:val="0"/>
          <w:numId w:val="1"/>
        </w:numPr>
        <w:spacing w:before="100" w:beforeAutospacing="1" w:after="100" w:afterAutospacing="1" w:line="240" w:lineRule="auto"/>
        <w:rPr>
          <w:rFonts w:cs="Tahoma"/>
          <w:lang w:eastAsia="sl-SI"/>
        </w:rPr>
      </w:pPr>
      <w:r w:rsidRPr="00DA23E9">
        <w:rPr>
          <w:rFonts w:cs="Tahoma"/>
        </w:rPr>
        <w:t>Marija Terezija (1740 - 80)</w:t>
      </w:r>
    </w:p>
    <w:p w:rsidR="00DA23E9" w:rsidRPr="00DA23E9" w:rsidRDefault="00DA23E9" w:rsidP="00DA23E9">
      <w:pPr>
        <w:autoSpaceDE w:val="0"/>
        <w:autoSpaceDN w:val="0"/>
        <w:adjustRightInd w:val="0"/>
        <w:spacing w:after="0" w:line="240" w:lineRule="auto"/>
        <w:rPr>
          <w:rFonts w:cs="Tahoma"/>
        </w:rPr>
      </w:pPr>
      <w:r w:rsidRPr="006B763E">
        <w:rPr>
          <w:rStyle w:val="Heading4Char"/>
          <w:rFonts w:ascii="Calibri" w:eastAsia="Calibri" w:hAnsi="Calibri"/>
          <w:color w:val="auto"/>
        </w:rPr>
        <w:t>VOJNA KRAJINA (1460 -1881)</w:t>
      </w:r>
    </w:p>
    <w:p w:rsidR="00DA23E9" w:rsidRPr="00DA23E9" w:rsidRDefault="00DA23E9" w:rsidP="00DA23E9">
      <w:pPr>
        <w:autoSpaceDE w:val="0"/>
        <w:autoSpaceDN w:val="0"/>
        <w:adjustRightInd w:val="0"/>
        <w:spacing w:after="0" w:line="240" w:lineRule="auto"/>
        <w:rPr>
          <w:rFonts w:cs="Tahoma"/>
        </w:rPr>
      </w:pPr>
    </w:p>
    <w:p w:rsidR="00DA23E9" w:rsidRPr="00DA23E9" w:rsidRDefault="00DA23E9" w:rsidP="00DA23E9">
      <w:pPr>
        <w:autoSpaceDE w:val="0"/>
        <w:autoSpaceDN w:val="0"/>
        <w:adjustRightInd w:val="0"/>
        <w:spacing w:after="0" w:line="360" w:lineRule="auto"/>
        <w:jc w:val="both"/>
        <w:rPr>
          <w:rFonts w:cs="Tahoma"/>
          <w:b/>
          <w:bCs/>
          <w:lang w:val="es-ES_tradnl"/>
        </w:rPr>
      </w:pPr>
      <w:r w:rsidRPr="00DA23E9">
        <w:rPr>
          <w:rFonts w:cs="Tahoma"/>
          <w:bCs/>
        </w:rPr>
        <w:t>Vojn</w:t>
      </w:r>
      <w:r w:rsidRPr="00DA23E9">
        <w:rPr>
          <w:rFonts w:cs="Tahoma"/>
        </w:rPr>
        <w:t xml:space="preserve">a krajina je zajemala tudi območje današnje Hrvaške in Južni del Slovenije. V zameno za hrano in dom so tam branili ozemlje Slovenije in Avstrijskega cesarstva pred vpadi Turkov,  Uskoki in begunci pred </w:t>
      </w:r>
      <w:hyperlink r:id="rId10" w:tooltip="Turki" w:history="1">
        <w:r w:rsidRPr="00DA23E9">
          <w:rPr>
            <w:rStyle w:val="Hyperlink"/>
            <w:rFonts w:cs="Tahoma"/>
            <w:color w:val="auto"/>
            <w:u w:val="none"/>
          </w:rPr>
          <w:t>Turki</w:t>
        </w:r>
      </w:hyperlink>
      <w:r w:rsidRPr="00DA23E9">
        <w:rPr>
          <w:rStyle w:val="Hyperlink"/>
          <w:rFonts w:cs="Tahoma"/>
          <w:color w:val="auto"/>
          <w:u w:val="none"/>
        </w:rPr>
        <w:t xml:space="preserve">. </w:t>
      </w:r>
      <w:r w:rsidRPr="00DA23E9">
        <w:rPr>
          <w:rFonts w:cs="Tahoma"/>
        </w:rPr>
        <w:t>Ker je bilo pred Turki izpostavljeno tudi</w:t>
      </w:r>
      <w:r w:rsidRPr="00DA23E9">
        <w:rPr>
          <w:rFonts w:cs="Tahoma"/>
          <w:b/>
        </w:rPr>
        <w:t xml:space="preserve"> </w:t>
      </w:r>
      <w:hyperlink r:id="rId11" w:tooltip="Avstrijsko cesarstvo" w:history="1">
        <w:r w:rsidRPr="006B763E">
          <w:rPr>
            <w:rStyle w:val="Heading1Char"/>
            <w:rFonts w:ascii="Calibri" w:eastAsia="Calibri" w:hAnsi="Calibri" w:cs="Tahoma"/>
            <w:b w:val="0"/>
            <w:color w:val="auto"/>
            <w:sz w:val="22"/>
            <w:szCs w:val="22"/>
          </w:rPr>
          <w:t>Avstrijsko cesarstvo</w:t>
        </w:r>
      </w:hyperlink>
      <w:r w:rsidRPr="00DA23E9">
        <w:rPr>
          <w:rFonts w:cs="Tahoma"/>
          <w:b/>
        </w:rPr>
        <w:t>,</w:t>
      </w:r>
      <w:r w:rsidRPr="00DA23E9">
        <w:rPr>
          <w:rFonts w:cs="Tahoma"/>
        </w:rPr>
        <w:t xml:space="preserve"> so jih ti naselili na nenaseljeno območje, ki je bilo najbolj izpostavljeno Turkom. S tem so se sicer na nekoliko nehuman način zaščitili, a so beguncem v zameno dali hrano in prebivališče.</w:t>
      </w:r>
      <w:r w:rsidRPr="00DA23E9">
        <w:rPr>
          <w:rFonts w:cs="Tahoma"/>
          <w:noProof/>
          <w:lang w:eastAsia="sl-SI"/>
        </w:rPr>
        <w:t xml:space="preserve"> </w:t>
      </w:r>
      <w:r w:rsidRPr="00DA23E9">
        <w:rPr>
          <w:rFonts w:cs="Tahoma"/>
          <w:lang w:val="es-ES_tradnl"/>
        </w:rPr>
        <w:t>Vojna krajina je sistem utrdb, ki so namenjene za obrambo habsburške monarhije.</w:t>
      </w:r>
      <w:r w:rsidRPr="00DA23E9">
        <w:rPr>
          <w:lang w:val="es-ES_tradnl"/>
        </w:rPr>
        <w:t xml:space="preserve"> </w:t>
      </w:r>
      <w:r w:rsidRPr="00DA23E9">
        <w:rPr>
          <w:rFonts w:cs="Tahoma"/>
          <w:lang w:val="es-ES_tradnl"/>
        </w:rPr>
        <w:t xml:space="preserve">Ustanovljena je bila leta 1460, trajala pa je do leta 1881, takrat je bila ukinjena. Inkorporirana in demoralizirana v Habsburško monarhijo. Slovenci </w:t>
      </w:r>
      <w:r w:rsidRPr="00DA23E9">
        <w:rPr>
          <w:rFonts w:cs="Tahoma"/>
          <w:lang w:val="es-ES_tradnl"/>
        </w:rPr>
        <w:lastRenderedPageBreak/>
        <w:t xml:space="preserve">imamo od nje veliko koristi – vojaški poveljniki so Slovenci. Poleg vojne funkcije je imela tudi funkcijo, da je preprečevala prehod kužnih bolezni in epidemij. V 18. stoletju se jo je prijel izraz PREDZID KRŠČANSTVA IN ZDRAVJA. Samo ozemlje krajine se leta 1881 razdeli dva svetova oz. imperija in sicer Habsburškega in Osmanskega. </w:t>
      </w:r>
      <w:r w:rsidRPr="00DA23E9">
        <w:rPr>
          <w:rFonts w:cs="Tahoma"/>
        </w:rPr>
        <w:t xml:space="preserve">Njen obstoj se deli na več obdobji: </w:t>
      </w:r>
      <w:r w:rsidRPr="00DA23E9">
        <w:rPr>
          <w:rFonts w:cs="Tahoma"/>
        </w:rPr>
        <w:br/>
      </w:r>
    </w:p>
    <w:p w:rsidR="00DA23E9" w:rsidRPr="006B763E" w:rsidRDefault="00DA23E9" w:rsidP="00DA23E9">
      <w:pPr>
        <w:pStyle w:val="ListParagraph"/>
        <w:numPr>
          <w:ilvl w:val="0"/>
          <w:numId w:val="2"/>
        </w:numPr>
        <w:spacing w:after="0" w:line="360" w:lineRule="auto"/>
        <w:jc w:val="both"/>
        <w:rPr>
          <w:rFonts w:ascii="Calibri" w:hAnsi="Calibri" w:cs="Tahoma"/>
        </w:rPr>
      </w:pPr>
      <w:r w:rsidRPr="006B763E">
        <w:rPr>
          <w:rFonts w:ascii="Calibri" w:hAnsi="Calibri" w:cs="Tahoma"/>
          <w:b/>
          <w:bCs/>
        </w:rPr>
        <w:t>1. OBDOBJE</w:t>
      </w:r>
      <w:r w:rsidRPr="006B763E">
        <w:rPr>
          <w:rFonts w:ascii="Calibri" w:hAnsi="Calibri" w:cs="Tahoma"/>
        </w:rPr>
        <w:t xml:space="preserve"> (od druge polovice 15. stol. do 1593 – bitka pri Sisku): obdobje izgrajevanja obmejnih institucij in borbe za obstanek Hrvaške oz. Hrvaško-Slavonsko-Primorskega kraljestva</w:t>
      </w:r>
    </w:p>
    <w:p w:rsidR="00DA23E9" w:rsidRPr="006B763E" w:rsidRDefault="00DA23E9" w:rsidP="00DA23E9">
      <w:pPr>
        <w:pStyle w:val="ListParagraph"/>
        <w:spacing w:after="0" w:line="360" w:lineRule="auto"/>
        <w:jc w:val="both"/>
        <w:rPr>
          <w:rFonts w:ascii="Calibri" w:hAnsi="Calibri" w:cs="Tahoma"/>
        </w:rPr>
      </w:pPr>
    </w:p>
    <w:p w:rsidR="00DA23E9" w:rsidRPr="00DA23E9" w:rsidRDefault="00DA23E9" w:rsidP="00DA23E9">
      <w:pPr>
        <w:numPr>
          <w:ilvl w:val="0"/>
          <w:numId w:val="2"/>
        </w:numPr>
        <w:spacing w:after="0" w:line="360" w:lineRule="auto"/>
        <w:jc w:val="both"/>
        <w:rPr>
          <w:rFonts w:cs="Tahoma"/>
          <w:lang w:val="sl-SI"/>
        </w:rPr>
      </w:pPr>
      <w:r w:rsidRPr="00DA23E9">
        <w:rPr>
          <w:rFonts w:cs="Tahoma"/>
          <w:b/>
          <w:bCs/>
          <w:lang w:val="sl-SI"/>
        </w:rPr>
        <w:t>2. OBDOBJE</w:t>
      </w:r>
      <w:r w:rsidRPr="00DA23E9">
        <w:rPr>
          <w:rFonts w:cs="Tahoma"/>
          <w:lang w:val="sl-SI"/>
        </w:rPr>
        <w:t xml:space="preserve"> (1593 - 1606): čas masovnega naseljevanja prebivalcev iz Turčije – predvsem Srbov v slovanski del in čas t.i. DOLGE VOJNE</w:t>
      </w:r>
    </w:p>
    <w:p w:rsidR="00DA23E9" w:rsidRPr="00DA23E9" w:rsidRDefault="00DA23E9" w:rsidP="00DA23E9">
      <w:pPr>
        <w:spacing w:line="360" w:lineRule="auto"/>
        <w:jc w:val="both"/>
        <w:rPr>
          <w:rFonts w:cs="Tahoma"/>
          <w:lang w:val="sl-SI"/>
        </w:rPr>
      </w:pPr>
    </w:p>
    <w:p w:rsidR="00DA23E9" w:rsidRPr="00DA23E9" w:rsidRDefault="00DA23E9" w:rsidP="00DA23E9">
      <w:pPr>
        <w:numPr>
          <w:ilvl w:val="0"/>
          <w:numId w:val="2"/>
        </w:numPr>
        <w:spacing w:after="0" w:line="360" w:lineRule="auto"/>
        <w:jc w:val="both"/>
        <w:rPr>
          <w:rFonts w:cs="Tahoma"/>
          <w:lang w:val="sl-SI"/>
        </w:rPr>
      </w:pPr>
      <w:r w:rsidRPr="00DA23E9">
        <w:rPr>
          <w:rFonts w:cs="Tahoma"/>
          <w:b/>
          <w:bCs/>
          <w:lang w:val="sl-SI"/>
        </w:rPr>
        <w:t>3. OBDOBJE</w:t>
      </w:r>
      <w:r w:rsidRPr="00DA23E9">
        <w:rPr>
          <w:rFonts w:cs="Tahoma"/>
          <w:lang w:val="sl-SI"/>
        </w:rPr>
        <w:t xml:space="preserve"> (1606 - 1699 – Karlovški mir): Vlahi dobijo svoje pravice v Varaždinskem generalatu (v Vojni krajini je bil še Karlovški generalat), takšne pravice pa želijo doseči tudi ostali Vlahi v Vojni krajini. Zaradi tega je prihajalo je do velikih uporov, priseljene Srbe pa so cerkveni gospodje poskušali podrediti papežu</w:t>
      </w:r>
    </w:p>
    <w:p w:rsidR="00DA23E9" w:rsidRPr="00DA23E9" w:rsidRDefault="00DA23E9" w:rsidP="00DA23E9">
      <w:pPr>
        <w:spacing w:after="0" w:line="360" w:lineRule="auto"/>
        <w:jc w:val="both"/>
        <w:rPr>
          <w:rFonts w:cs="Tahoma"/>
          <w:lang w:val="sl-SI"/>
        </w:rPr>
      </w:pPr>
    </w:p>
    <w:p w:rsidR="00DA23E9" w:rsidRPr="00DA23E9" w:rsidRDefault="00DA23E9" w:rsidP="00DA23E9">
      <w:pPr>
        <w:numPr>
          <w:ilvl w:val="0"/>
          <w:numId w:val="2"/>
        </w:numPr>
        <w:spacing w:after="0" w:line="360" w:lineRule="auto"/>
        <w:jc w:val="both"/>
        <w:rPr>
          <w:rFonts w:cs="Tahoma"/>
          <w:lang w:val="es-ES_tradnl"/>
        </w:rPr>
      </w:pPr>
      <w:r w:rsidRPr="00DA23E9">
        <w:rPr>
          <w:rFonts w:cs="Tahoma"/>
          <w:b/>
          <w:bCs/>
          <w:lang w:val="es-ES_tradnl"/>
        </w:rPr>
        <w:t>4. OBDOBJE</w:t>
      </w:r>
      <w:r w:rsidRPr="00DA23E9">
        <w:rPr>
          <w:rFonts w:cs="Tahoma"/>
          <w:lang w:val="es-ES_tradnl"/>
        </w:rPr>
        <w:t xml:space="preserve"> (1699- 1754): od konca Dunajske vojne do utrditve Marije Terezije na prestolu. Dvorni vojni svet, odgovoren za Vojno krajino, je bil leta 1754 iz Gradca preseljen na Dunaj</w:t>
      </w:r>
    </w:p>
    <w:p w:rsidR="00DA23E9" w:rsidRPr="00DA23E9" w:rsidRDefault="00DA23E9" w:rsidP="00DA23E9">
      <w:pPr>
        <w:spacing w:after="0" w:line="360" w:lineRule="auto"/>
        <w:jc w:val="both"/>
        <w:rPr>
          <w:rFonts w:cs="Tahoma"/>
          <w:lang w:val="es-ES_tradnl"/>
        </w:rPr>
      </w:pPr>
    </w:p>
    <w:p w:rsidR="00DA23E9" w:rsidRPr="00DA23E9" w:rsidRDefault="00DA23E9" w:rsidP="00DA23E9">
      <w:pPr>
        <w:numPr>
          <w:ilvl w:val="0"/>
          <w:numId w:val="2"/>
        </w:numPr>
        <w:spacing w:after="0" w:line="360" w:lineRule="auto"/>
        <w:jc w:val="both"/>
        <w:rPr>
          <w:rFonts w:cs="Tahoma"/>
          <w:lang w:val="es-ES_tradnl"/>
        </w:rPr>
      </w:pPr>
      <w:r w:rsidRPr="00DA23E9">
        <w:rPr>
          <w:rFonts w:cs="Tahoma"/>
          <w:b/>
          <w:bCs/>
          <w:lang w:val="es-ES_tradnl"/>
        </w:rPr>
        <w:t>5. OBDOBJE</w:t>
      </w:r>
      <w:r w:rsidRPr="00DA23E9">
        <w:rPr>
          <w:rFonts w:cs="Tahoma"/>
          <w:lang w:val="es-ES_tradnl"/>
        </w:rPr>
        <w:t xml:space="preserve"> (1754 - 1807): leta 1754 pride na Dunaju do izdaje Vojno krajiških zakonov oz. prava, ki izdvojijo Vojno krajino. Fevd je dobil svojo zakonodajo, izenačil pa se je tudi status prebivalstva, tako da so vsi prebivalci dobili enak vojaški status</w:t>
      </w:r>
    </w:p>
    <w:p w:rsidR="00DA23E9" w:rsidRPr="00DA23E9" w:rsidRDefault="00DA23E9" w:rsidP="00DA23E9">
      <w:pPr>
        <w:spacing w:after="0" w:line="360" w:lineRule="auto"/>
        <w:jc w:val="both"/>
        <w:rPr>
          <w:rFonts w:cs="Tahoma"/>
          <w:lang w:val="es-ES_tradnl"/>
        </w:rPr>
      </w:pPr>
    </w:p>
    <w:p w:rsidR="00DA23E9" w:rsidRPr="00DA23E9" w:rsidRDefault="00DA23E9" w:rsidP="00DA23E9">
      <w:pPr>
        <w:numPr>
          <w:ilvl w:val="0"/>
          <w:numId w:val="2"/>
        </w:numPr>
        <w:spacing w:after="0" w:line="360" w:lineRule="auto"/>
        <w:jc w:val="both"/>
        <w:rPr>
          <w:rFonts w:cs="Tahoma"/>
          <w:lang w:val="es-ES_tradnl"/>
        </w:rPr>
      </w:pPr>
      <w:r w:rsidRPr="00DA23E9">
        <w:rPr>
          <w:rFonts w:cs="Tahoma"/>
          <w:b/>
          <w:bCs/>
          <w:lang w:val="es-ES_tradnl"/>
        </w:rPr>
        <w:t>6. OBDOBJE</w:t>
      </w:r>
      <w:r w:rsidRPr="00DA23E9">
        <w:rPr>
          <w:rFonts w:cs="Tahoma"/>
          <w:lang w:val="es-ES_tradnl"/>
        </w:rPr>
        <w:t xml:space="preserve"> (1807 - 1848/49): to je obdobje, ko ga nekaj let motijo Ilirske province od Celovca do Dalmacije pod Napoleonom; za čas provinc so pričakovali, da se bo morda spremenil status prebivalstva a do tega ni prišlo. Leta 1807 pride do sprejetja Temeljnega zakona s katerim Krajišniki dobijo zemljo za preživetje kot cesarski fevd – s tem postane njihova zemlja tudi dedna</w:t>
      </w:r>
    </w:p>
    <w:p w:rsidR="00DA23E9" w:rsidRPr="00DA23E9" w:rsidRDefault="00DA23E9" w:rsidP="00DA23E9">
      <w:pPr>
        <w:spacing w:after="0" w:line="360" w:lineRule="auto"/>
        <w:jc w:val="both"/>
        <w:rPr>
          <w:rFonts w:cs="Tahoma"/>
          <w:lang w:val="es-ES_tradnl"/>
        </w:rPr>
      </w:pPr>
    </w:p>
    <w:p w:rsidR="00DA23E9" w:rsidRPr="006B763E" w:rsidRDefault="00DA23E9" w:rsidP="00DA23E9">
      <w:pPr>
        <w:pStyle w:val="ListParagraph"/>
        <w:numPr>
          <w:ilvl w:val="0"/>
          <w:numId w:val="2"/>
        </w:numPr>
        <w:spacing w:line="360" w:lineRule="auto"/>
        <w:jc w:val="both"/>
        <w:rPr>
          <w:rFonts w:ascii="Calibri" w:hAnsi="Calibri" w:cs="Tahoma"/>
        </w:rPr>
      </w:pPr>
      <w:r w:rsidRPr="006B763E">
        <w:rPr>
          <w:rFonts w:ascii="Calibri" w:hAnsi="Calibri" w:cs="Tahoma"/>
          <w:b/>
          <w:bCs/>
        </w:rPr>
        <w:t xml:space="preserve">7. OBDOBJE </w:t>
      </w:r>
      <w:r w:rsidRPr="006B763E">
        <w:rPr>
          <w:rFonts w:ascii="Calibri" w:hAnsi="Calibri" w:cs="Tahoma"/>
        </w:rPr>
        <w:t xml:space="preserve">(1848/49 -  1871/81): Hrvaški sabor sprva z zakonom poskuša priključiti Vojno krajino k civilni Hrvaški, vendar pa bi to pomenilo povečanje vpliva Madžarske, zato Dunaj ne privoli v te načrte. Leta 1871 pride do demilitarizacije Vojne krajine, čemur leta 1881 sledi </w:t>
      </w:r>
      <w:r w:rsidRPr="006B763E">
        <w:rPr>
          <w:rFonts w:ascii="Calibri" w:hAnsi="Calibri" w:cs="Tahoma"/>
        </w:rPr>
        <w:lastRenderedPageBreak/>
        <w:t>medlo sprejeta formalna ukinitev Vojne krajine. Prostor je ob razpustitvi izredno nerazvit naseljen s pravoslavnim prebivalstvom ter s slabo razvito trgovino in šolstvom.</w:t>
      </w:r>
    </w:p>
    <w:p w:rsidR="00DA23E9" w:rsidRPr="006B763E" w:rsidRDefault="00DA23E9" w:rsidP="00DA23E9">
      <w:pPr>
        <w:pStyle w:val="BodyText"/>
        <w:spacing w:line="360" w:lineRule="auto"/>
        <w:rPr>
          <w:rFonts w:ascii="Calibri" w:hAnsi="Calibri" w:cs="Tahoma"/>
          <w:sz w:val="22"/>
          <w:szCs w:val="22"/>
        </w:rPr>
      </w:pPr>
      <w:r w:rsidRPr="006B763E">
        <w:rPr>
          <w:rFonts w:ascii="Calibri" w:hAnsi="Calibri" w:cs="Tahoma"/>
          <w:sz w:val="22"/>
          <w:szCs w:val="22"/>
        </w:rPr>
        <w:t>V virih je za Vojno krajino moč zaslediti ime Confines Miletares, Hrvaška vojna krajina ali tudi Slovenska vojna krajina. Značilno je, da je to poseben teritorij katerega civilno prebivalstvo je bilo podrejeno vojaški upravi, s tem pa so tudi ljudje, ki so tukaj živeli dobili poseben status. Krajina se je nadaljevala tudi na S na območje Ogrske, kjer pa ni imela značaja vojne krajine.</w:t>
      </w:r>
    </w:p>
    <w:p w:rsidR="00DA23E9" w:rsidRPr="006B763E" w:rsidRDefault="00DA23E9" w:rsidP="00DA23E9">
      <w:pPr>
        <w:pStyle w:val="BodyText"/>
        <w:spacing w:line="360" w:lineRule="auto"/>
        <w:rPr>
          <w:rFonts w:ascii="Calibri" w:hAnsi="Calibri" w:cs="Tahoma"/>
          <w:sz w:val="22"/>
          <w:szCs w:val="22"/>
        </w:rPr>
      </w:pPr>
    </w:p>
    <w:p w:rsidR="00DA23E9" w:rsidRPr="00DA23E9" w:rsidRDefault="00DA23E9" w:rsidP="00DA23E9">
      <w:pPr>
        <w:spacing w:line="360" w:lineRule="auto"/>
        <w:jc w:val="both"/>
        <w:rPr>
          <w:rFonts w:cs="Tahoma"/>
          <w:lang w:val="sl-SI"/>
        </w:rPr>
      </w:pPr>
      <w:r w:rsidRPr="00DA23E9">
        <w:rPr>
          <w:rFonts w:cs="Tahoma"/>
          <w:lang w:val="sl-SI"/>
        </w:rPr>
        <w:t>Začetki Vojne krajine segajo že pred leto 1500, ko je 1366. leta vladar Ogrske dal idejo za vojaški spopad s Turki. Vzpostavitev nekakšne obrambe pa je bilo potrebno po padcu Bosne (1463), ko je Hrvaška postala neposredni sosed Osmanskega imperija.</w:t>
      </w:r>
    </w:p>
    <w:p w:rsidR="00DA23E9" w:rsidRPr="00DA23E9" w:rsidRDefault="00DA23E9" w:rsidP="00DA23E9">
      <w:pPr>
        <w:autoSpaceDE w:val="0"/>
        <w:autoSpaceDN w:val="0"/>
        <w:adjustRightInd w:val="0"/>
        <w:spacing w:after="0" w:line="360" w:lineRule="auto"/>
        <w:jc w:val="both"/>
        <w:rPr>
          <w:rFonts w:cs="Tahoma"/>
          <w:lang w:val="es-ES_tradnl"/>
        </w:rPr>
      </w:pPr>
      <w:r w:rsidRPr="00DA23E9">
        <w:rPr>
          <w:rFonts w:cs="Tahoma"/>
          <w:lang w:val="es-ES_tradnl"/>
        </w:rPr>
        <w:t xml:space="preserve">Njena naloga je bila vseskozi obramba pred Turki. </w:t>
      </w:r>
    </w:p>
    <w:p w:rsidR="00DA23E9" w:rsidRPr="00DA23E9" w:rsidRDefault="00DA23E9" w:rsidP="00DA23E9">
      <w:pPr>
        <w:spacing w:line="360" w:lineRule="auto"/>
        <w:jc w:val="both"/>
        <w:rPr>
          <w:rFonts w:cs="Tahoma"/>
          <w:lang w:val="es-ES_tradnl"/>
        </w:rPr>
      </w:pPr>
      <w:r w:rsidRPr="00DA23E9">
        <w:rPr>
          <w:rFonts w:cs="Tahoma"/>
          <w:lang w:val="es-ES_tradnl"/>
        </w:rPr>
        <w:t>Prvi se je Turkom zapostavil Mitja Korvin, ki je ustanovil tri pokrajinske obrambne enote:</w:t>
      </w:r>
    </w:p>
    <w:p w:rsidR="00DA23E9" w:rsidRPr="00DA23E9" w:rsidRDefault="00DA23E9" w:rsidP="00DA23E9">
      <w:pPr>
        <w:numPr>
          <w:ilvl w:val="0"/>
          <w:numId w:val="2"/>
        </w:numPr>
        <w:spacing w:after="0" w:line="360" w:lineRule="auto"/>
        <w:jc w:val="both"/>
        <w:rPr>
          <w:rFonts w:cs="Tahoma"/>
          <w:lang w:val="es-ES_tradnl"/>
        </w:rPr>
      </w:pPr>
      <w:r w:rsidRPr="00DA23E9">
        <w:rPr>
          <w:rFonts w:cs="Tahoma"/>
          <w:lang w:val="es-ES_tradnl"/>
        </w:rPr>
        <w:t>Srenjsko kapetanijo, ki se je obdržala do srede 18. stol.;</w:t>
      </w:r>
    </w:p>
    <w:p w:rsidR="00DA23E9" w:rsidRPr="00DA23E9" w:rsidRDefault="00DA23E9" w:rsidP="00DA23E9">
      <w:pPr>
        <w:numPr>
          <w:ilvl w:val="0"/>
          <w:numId w:val="2"/>
        </w:numPr>
        <w:spacing w:after="0" w:line="360" w:lineRule="auto"/>
        <w:jc w:val="both"/>
        <w:rPr>
          <w:rFonts w:cs="Tahoma"/>
        </w:rPr>
      </w:pPr>
      <w:r w:rsidRPr="00DA23E9">
        <w:rPr>
          <w:rFonts w:cs="Tahoma"/>
        </w:rPr>
        <w:t>Jajačko banovino in;</w:t>
      </w:r>
    </w:p>
    <w:p w:rsidR="00DA23E9" w:rsidRPr="00DA23E9" w:rsidRDefault="00DA23E9" w:rsidP="00DA23E9">
      <w:pPr>
        <w:numPr>
          <w:ilvl w:val="0"/>
          <w:numId w:val="2"/>
        </w:numPr>
        <w:spacing w:after="0" w:line="360" w:lineRule="auto"/>
        <w:jc w:val="both"/>
        <w:rPr>
          <w:rFonts w:cs="Tahoma"/>
          <w:lang w:val="es-ES_tradnl"/>
        </w:rPr>
      </w:pPr>
      <w:r w:rsidRPr="00DA23E9">
        <w:rPr>
          <w:rFonts w:cs="Tahoma"/>
          <w:lang w:val="es-ES_tradnl"/>
        </w:rPr>
        <w:t>Srebreniško banovino, ki je obsegala območje med reko Bosno in Drino.</w:t>
      </w:r>
    </w:p>
    <w:p w:rsidR="00DA23E9" w:rsidRPr="00DA23E9" w:rsidRDefault="00DA23E9" w:rsidP="00DA23E9">
      <w:pPr>
        <w:spacing w:line="360" w:lineRule="auto"/>
        <w:jc w:val="both"/>
        <w:rPr>
          <w:rFonts w:cs="Tahoma"/>
          <w:lang w:val="es-ES_tradnl"/>
        </w:rPr>
      </w:pPr>
    </w:p>
    <w:p w:rsidR="00DA23E9" w:rsidRPr="00DA23E9" w:rsidRDefault="00DA23E9" w:rsidP="00DA23E9">
      <w:pPr>
        <w:spacing w:line="360" w:lineRule="auto"/>
        <w:jc w:val="both"/>
        <w:rPr>
          <w:rFonts w:cs="Tahoma"/>
          <w:lang w:val="es-ES_tradnl"/>
        </w:rPr>
      </w:pPr>
      <w:r w:rsidRPr="00DA23E9">
        <w:rPr>
          <w:rFonts w:cs="Tahoma"/>
          <w:lang w:val="es-ES_tradnl"/>
        </w:rPr>
        <w:t>Po njegovi smrti je na Hrvaškem na oblast prišla dinastija Jagelondcev. Zaradi odklanjanje borb zunaj slovanskih meja, je bila obramba pokrajin prepuščena posameznim plemičem, ki pa so se slabše upirali Turkom vse do leta 1493, ko je v bitki na Krbavskemu polju prišlo do bitke s Turki v kateri je padla večina hrvaškega plemstva. Od tega trenutka naprej so poskušali preživeti s sklepanjem pogodb s Turki o prostem prehodu čez njihovo območje, nekateri pa so iskali zaveznika v Benečanih in Habsburžanih, ki so edini lahko nudili ustrezno pomoč.</w:t>
      </w:r>
    </w:p>
    <w:p w:rsidR="00DA23E9" w:rsidRPr="00DA23E9" w:rsidRDefault="00DA23E9" w:rsidP="00DA23E9">
      <w:pPr>
        <w:spacing w:line="360" w:lineRule="auto"/>
        <w:jc w:val="both"/>
        <w:rPr>
          <w:rFonts w:cs="Tahoma"/>
          <w:lang w:val="es-ES_tradnl"/>
        </w:rPr>
      </w:pPr>
      <w:r w:rsidRPr="00DA23E9">
        <w:rPr>
          <w:rFonts w:cs="Tahoma"/>
          <w:lang w:val="es-ES_tradnl"/>
        </w:rPr>
        <w:t>Leta 1526 je prišlo do bitke v kateri so Hrvati ostali brez plemiške družine, plemstvo si je za novo vladarsko dinastijo izbralo Habsburžane in novega vladarja Ferdinanda I., ki so ga izvolili v današnjem Citigradu oz. Vališ selu 1. januarja 1527. Ferdinand je poleg vojske obljubil, da bo skrbel tudi za utrdbe, poleg tega pa je za obrambo ustanovil tudi Bihaško kapetanijo. Hrvaški plemiči so z izgubljanjem ozemlja postajali vedno bolj odvisni od vladarja.</w:t>
      </w:r>
    </w:p>
    <w:p w:rsidR="00DA23E9" w:rsidRPr="00DA23E9" w:rsidRDefault="00DA23E9" w:rsidP="00DA23E9">
      <w:pPr>
        <w:spacing w:line="360" w:lineRule="auto"/>
        <w:jc w:val="both"/>
        <w:rPr>
          <w:rFonts w:cs="Tahoma"/>
          <w:lang w:val="es-ES_tradnl"/>
        </w:rPr>
      </w:pPr>
      <w:r w:rsidRPr="00DA23E9">
        <w:rPr>
          <w:rFonts w:cs="Tahoma"/>
          <w:lang w:val="es-ES_tradnl"/>
        </w:rPr>
        <w:t>Za obrambo in lažjo vojaško organizacijo je bila po letu 1540 tudi pri nas na kranjskem ustanovljena Žumberška kapetanija. Kmalu so se kapetanije združile v Slavonsko in Hrvaško skupino kapetanij. Denar za ta območja je vladar dobival iz vojnega davka DIKE, ki se je pobiral od vsakega ognjišča oz. dima. Z večanjem Vojne krajine pa so nenehno naraščala tudi potrebna sredstva zanjo, zato je vladar postajal dolžnik pri posameznih fevdalcih. Poklicni vojaki so plače dobivali neredno, drugače pa so plače bile sestavljene iz denarja, sukna in hrane. Turki so s svojo taktiko pustošenja poskušali prisiliti prebivalstvo, da bi zapustilo svoje domove in s tem ozemlje po letu 1550 pa se je prodiranje Turkov zaustavilo. Velik del turških čet so sestavljali kristjani, ki so s tem pridobili določene privilegije, ki pa so jih začeli izgubljati okoli l. 1530, zato je to prebivalstvo začelo prehajati na habsburško stran, kjer je bilo imenovano z različnimi imeni - Vlah, Rah, Čič.</w:t>
      </w:r>
    </w:p>
    <w:p w:rsidR="00DA23E9" w:rsidRPr="00DA23E9" w:rsidRDefault="00DA23E9" w:rsidP="00DA23E9">
      <w:pPr>
        <w:autoSpaceDE w:val="0"/>
        <w:autoSpaceDN w:val="0"/>
        <w:adjustRightInd w:val="0"/>
        <w:spacing w:after="0" w:line="360" w:lineRule="auto"/>
        <w:jc w:val="both"/>
        <w:rPr>
          <w:rFonts w:cs="Tahoma"/>
          <w:lang w:val="es-ES_tradnl"/>
        </w:rPr>
      </w:pPr>
      <w:r w:rsidRPr="00DA23E9">
        <w:rPr>
          <w:rFonts w:cs="Tahoma"/>
          <w:lang w:val="es-ES_tradnl"/>
        </w:rPr>
        <w:t>Ko je leta 1593 prišlo do poraza Turkov pri Sisku je vse do leta 1606 je trajalo obdobje dolge vojne, ki je pripeljala do ravnotežja na meji, vendar pa ni prinesla ozemeljskih osvojitev. Po koncu tega obdobja pa se je za Vojno Krajino, ki se je izdvojila kot poseben teritorij začelo novo obdobje. Še vedno pa je bila tesno povezana s turškimi dejanji. Po Turško-Habsburškem miru (1695)  se je vojna krajina postavila na reko Savo tako, da je velik del Vojne krajine 16. in 17. stol. zaradi osvojitev prenehal biti obmejno območje, zaradi česar so Hrvati želeli to ozemlje vključiti v civilno Hrvaško. Prav tako je prišlo do spora med dvornim vojnim svetom v Gradcu, ki je vedno bolj izgubljal moč in Dunajem. Dvor je tako prevzel kontrolo nad celotnim ozemljem. Prebivalstvo je bilo razdeljeno na aktivno milico, stražarje – ČARDAKIJE, odslužene krajišnike in odvečno prebivalstvo. Prve tri skupine prebivalstva so bile svobodne. Ustanovljen je bil nov generalat v Osijeku. Krajišniki so morali hoditi na tlako za obnovo utrdb, vendar pa so si s kontribucijo oz. plačevanjem poveljnikom lahko nekako kupili čas za obdelavo svojih zemljišč. To plačevanje se je kmalu spremenilo v stalni vojni davek, ki pa krajišnikov za časa vojne ni odrešil tlake. Krajišniki so postali tako še bolj obdavčeni kot navadni podložniki, poleg tega pa so tako nekako postajali kmetje svojim poveljnikom. V tretjem in četrtem desetletju 18. stol. so postali tako preobremenjeni, da je prišlo do uporov. Zaradi tega je bil na Dunaju (1733) izdan zakonik, ki je zapovedoval kdaj in kako mora biti tlaka narejena, kontribut pa je bil ukinjen. Tega zakona seveda poveljniki niso spoštovali, zato je prihajalo do sporov.</w:t>
      </w:r>
    </w:p>
    <w:p w:rsidR="00DA23E9" w:rsidRPr="00DA23E9" w:rsidRDefault="00DA23E9" w:rsidP="00DA23E9">
      <w:pPr>
        <w:jc w:val="both"/>
        <w:rPr>
          <w:rFonts w:cs="Tahoma"/>
          <w:lang w:val="es-ES_tradnl"/>
        </w:rPr>
      </w:pPr>
    </w:p>
    <w:p w:rsidR="00DA23E9" w:rsidRPr="006B763E" w:rsidRDefault="00DA23E9" w:rsidP="00DA23E9">
      <w:pPr>
        <w:pStyle w:val="NormalWeb"/>
        <w:rPr>
          <w:rFonts w:ascii="Calibri" w:hAnsi="Calibri" w:cs="Tahoma"/>
          <w:sz w:val="22"/>
          <w:szCs w:val="22"/>
          <w:lang w:val="hr-HR"/>
        </w:rPr>
      </w:pPr>
    </w:p>
    <w:p w:rsidR="00DA23E9" w:rsidRPr="006B763E" w:rsidRDefault="00DA23E9" w:rsidP="00DA23E9">
      <w:pPr>
        <w:pStyle w:val="Heading4"/>
        <w:rPr>
          <w:rFonts w:ascii="Calibri" w:hAnsi="Calibri"/>
          <w:color w:val="auto"/>
          <w:lang w:val="hr-HR"/>
        </w:rPr>
      </w:pPr>
      <w:r w:rsidRPr="006B763E">
        <w:rPr>
          <w:rFonts w:ascii="Calibri" w:hAnsi="Calibri"/>
          <w:color w:val="auto"/>
          <w:lang w:val="hr-HR"/>
        </w:rPr>
        <w:t>VIRI:</w:t>
      </w:r>
      <w:r w:rsidRPr="006B763E">
        <w:rPr>
          <w:rFonts w:ascii="Calibri" w:hAnsi="Calibri"/>
          <w:color w:val="auto"/>
          <w:lang w:val="hr-HR"/>
        </w:rPr>
        <w:br/>
      </w:r>
    </w:p>
    <w:p w:rsidR="00DA23E9" w:rsidRPr="006B763E" w:rsidRDefault="00DA23E9" w:rsidP="00DA23E9">
      <w:pPr>
        <w:pStyle w:val="ListParagraph"/>
        <w:numPr>
          <w:ilvl w:val="0"/>
          <w:numId w:val="3"/>
        </w:numPr>
        <w:rPr>
          <w:rFonts w:ascii="Calibri" w:hAnsi="Calibri" w:cs="Tahoma"/>
        </w:rPr>
      </w:pPr>
      <w:r w:rsidRPr="006B763E">
        <w:rPr>
          <w:rFonts w:ascii="Calibri" w:hAnsi="Calibri" w:cs="Tahoma"/>
        </w:rPr>
        <w:t xml:space="preserve">Mai, M. 2005. </w:t>
      </w:r>
      <w:r w:rsidRPr="006B763E">
        <w:rPr>
          <w:rFonts w:ascii="Calibri" w:hAnsi="Calibri" w:cs="Tahoma"/>
          <w:i/>
        </w:rPr>
        <w:t>Svetovna zgodovina na kratko : od prvih civilizacij do sodobnega sveta</w:t>
      </w:r>
      <w:r w:rsidRPr="006B763E">
        <w:rPr>
          <w:rFonts w:ascii="Calibri" w:hAnsi="Calibri" w:cs="Tahoma"/>
        </w:rPr>
        <w:t>. Ljubljana: Mladinska knjiga.</w:t>
      </w:r>
    </w:p>
    <w:p w:rsidR="00DA23E9" w:rsidRPr="006B763E" w:rsidRDefault="00DA23E9" w:rsidP="00DA23E9">
      <w:pPr>
        <w:pStyle w:val="ListParagraph"/>
        <w:rPr>
          <w:rFonts w:ascii="Calibri" w:hAnsi="Calibri" w:cs="Tahoma"/>
        </w:rPr>
      </w:pPr>
    </w:p>
    <w:p w:rsidR="00DA23E9" w:rsidRPr="006B763E" w:rsidRDefault="00DA23E9" w:rsidP="00DA23E9">
      <w:pPr>
        <w:pStyle w:val="ListParagraph"/>
        <w:numPr>
          <w:ilvl w:val="0"/>
          <w:numId w:val="3"/>
        </w:numPr>
        <w:rPr>
          <w:rFonts w:ascii="Calibri" w:hAnsi="Calibri" w:cs="Tahoma"/>
        </w:rPr>
      </w:pPr>
      <w:r w:rsidRPr="006B763E">
        <w:rPr>
          <w:rFonts w:ascii="Calibri" w:hAnsi="Calibri" w:cs="Tahoma"/>
        </w:rPr>
        <w:t xml:space="preserve">Mlancović, D. in Urankar, N.2010. </w:t>
      </w:r>
      <w:r w:rsidRPr="006B763E">
        <w:rPr>
          <w:rFonts w:ascii="Calibri" w:hAnsi="Calibri" w:cs="Tahoma"/>
          <w:i/>
        </w:rPr>
        <w:t>Zgodovina 2: učbenik za drugi letnik gimnazije</w:t>
      </w:r>
      <w:r w:rsidRPr="006B763E">
        <w:rPr>
          <w:rFonts w:ascii="Calibri" w:hAnsi="Calibri" w:cs="Tahoma"/>
        </w:rPr>
        <w:t>. Ljubljana: DZS.</w:t>
      </w:r>
    </w:p>
    <w:p w:rsidR="00DA23E9" w:rsidRPr="006B763E" w:rsidRDefault="00DA23E9" w:rsidP="00DA23E9">
      <w:pPr>
        <w:pStyle w:val="ListParagraph"/>
        <w:rPr>
          <w:rFonts w:ascii="Calibri" w:hAnsi="Calibri" w:cs="Tahoma"/>
        </w:rPr>
      </w:pPr>
    </w:p>
    <w:p w:rsidR="00DA23E9" w:rsidRPr="006B763E" w:rsidRDefault="00DA23E9" w:rsidP="00DA23E9">
      <w:pPr>
        <w:pStyle w:val="ListParagraph"/>
        <w:numPr>
          <w:ilvl w:val="0"/>
          <w:numId w:val="3"/>
        </w:numPr>
        <w:rPr>
          <w:rFonts w:ascii="Calibri" w:hAnsi="Calibri" w:cs="Tahoma"/>
        </w:rPr>
      </w:pPr>
      <w:r w:rsidRPr="006B763E">
        <w:rPr>
          <w:rFonts w:ascii="Calibri" w:hAnsi="Calibri" w:cs="Tahoma"/>
        </w:rPr>
        <w:t xml:space="preserve">Simoniti, V. 2002. </w:t>
      </w:r>
      <w:r w:rsidRPr="006B763E">
        <w:rPr>
          <w:rFonts w:ascii="Calibri" w:hAnsi="Calibri" w:cs="Tahoma"/>
          <w:i/>
        </w:rPr>
        <w:t>Seminarska naloga – Zgodovina JV Evrope v zgodnjem novem veku.</w:t>
      </w:r>
      <w:r w:rsidRPr="006B763E">
        <w:rPr>
          <w:rFonts w:ascii="Calibri" w:hAnsi="Calibri" w:cs="Tahoma"/>
        </w:rPr>
        <w:t xml:space="preserve"> Ljubljana.</w:t>
      </w:r>
    </w:p>
    <w:p w:rsidR="00DA23E9" w:rsidRPr="006B763E" w:rsidRDefault="00DA23E9" w:rsidP="00DA23E9">
      <w:pPr>
        <w:pStyle w:val="ListParagraph"/>
        <w:rPr>
          <w:rFonts w:ascii="Calibri" w:hAnsi="Calibri" w:cs="Tahoma"/>
        </w:rPr>
      </w:pPr>
    </w:p>
    <w:p w:rsidR="00DA23E9" w:rsidRPr="006B763E" w:rsidRDefault="00DA23E9" w:rsidP="00DA23E9">
      <w:pPr>
        <w:pStyle w:val="ListParagraph"/>
        <w:numPr>
          <w:ilvl w:val="0"/>
          <w:numId w:val="3"/>
        </w:numPr>
        <w:rPr>
          <w:rFonts w:ascii="Calibri" w:hAnsi="Calibri" w:cs="Tahoma"/>
        </w:rPr>
      </w:pPr>
      <w:r w:rsidRPr="006B763E">
        <w:rPr>
          <w:rFonts w:ascii="Calibri" w:hAnsi="Calibri" w:cs="Tahoma"/>
        </w:rPr>
        <w:t xml:space="preserve">Simoniti, V. 1990. </w:t>
      </w:r>
      <w:r w:rsidRPr="006B763E">
        <w:rPr>
          <w:rFonts w:ascii="Calibri" w:hAnsi="Calibri" w:cs="Tahoma"/>
          <w:i/>
        </w:rPr>
        <w:t>Turki so v deželi že</w:t>
      </w:r>
      <w:r w:rsidRPr="006B763E">
        <w:rPr>
          <w:rFonts w:ascii="Calibri" w:hAnsi="Calibri" w:cs="Tahoma"/>
        </w:rPr>
        <w:t xml:space="preserve">: </w:t>
      </w:r>
      <w:r w:rsidRPr="006B763E">
        <w:rPr>
          <w:rFonts w:ascii="Calibri" w:hAnsi="Calibri" w:cs="Tahoma"/>
          <w:i/>
        </w:rPr>
        <w:t>Turški vpadi na slovensko ozemlje v  15. in 16. Stoletju</w:t>
      </w:r>
      <w:r w:rsidRPr="006B763E">
        <w:rPr>
          <w:rFonts w:ascii="Calibri" w:hAnsi="Calibri" w:cs="Tahoma"/>
        </w:rPr>
        <w:t>. Celje: Moharjeva družba.</w:t>
      </w:r>
    </w:p>
    <w:p w:rsidR="00DA23E9" w:rsidRPr="006B763E" w:rsidRDefault="00DA23E9" w:rsidP="00DA23E9">
      <w:pPr>
        <w:pStyle w:val="ListParagraph"/>
        <w:rPr>
          <w:rFonts w:ascii="Calibri" w:hAnsi="Calibri" w:cs="Tahoma"/>
        </w:rPr>
      </w:pPr>
    </w:p>
    <w:p w:rsidR="00DA23E9" w:rsidRPr="006B763E" w:rsidRDefault="00DA23E9" w:rsidP="00DA23E9">
      <w:pPr>
        <w:pStyle w:val="ListParagraph"/>
        <w:numPr>
          <w:ilvl w:val="0"/>
          <w:numId w:val="3"/>
        </w:numPr>
        <w:rPr>
          <w:rFonts w:ascii="Calibri" w:hAnsi="Calibri" w:cs="Tahoma"/>
        </w:rPr>
      </w:pPr>
      <w:r w:rsidRPr="006B763E">
        <w:rPr>
          <w:rFonts w:ascii="Calibri" w:hAnsi="Calibri" w:cs="Tahoma"/>
        </w:rPr>
        <w:t xml:space="preserve">Štih, P. in Simoniti, V. 2010. </w:t>
      </w:r>
      <w:r w:rsidRPr="006B763E">
        <w:rPr>
          <w:rFonts w:ascii="Calibri" w:hAnsi="Calibri" w:cs="Tahoma"/>
          <w:i/>
        </w:rPr>
        <w:t>Na stičišču svetov : slovenska zgodovina od prazgodovinskih kultur do konca 18. Stoletja</w:t>
      </w:r>
      <w:r w:rsidRPr="006B763E">
        <w:rPr>
          <w:rFonts w:ascii="Calibri" w:hAnsi="Calibri" w:cs="Tahoma"/>
        </w:rPr>
        <w:t>. Ljubljana: Modrijan.</w:t>
      </w:r>
    </w:p>
    <w:p w:rsidR="00DA23E9" w:rsidRPr="006B763E" w:rsidRDefault="00DA23E9" w:rsidP="00DA23E9">
      <w:pPr>
        <w:pStyle w:val="ListParagraph"/>
        <w:rPr>
          <w:rFonts w:ascii="Calibri" w:hAnsi="Calibri" w:cs="Tahoma"/>
        </w:rPr>
      </w:pPr>
    </w:p>
    <w:p w:rsidR="00DA23E9" w:rsidRPr="006B763E" w:rsidRDefault="00DA23E9" w:rsidP="00DA23E9">
      <w:pPr>
        <w:pStyle w:val="ListParagraph"/>
        <w:numPr>
          <w:ilvl w:val="0"/>
          <w:numId w:val="3"/>
        </w:numPr>
        <w:autoSpaceDE w:val="0"/>
        <w:autoSpaceDN w:val="0"/>
        <w:adjustRightInd w:val="0"/>
        <w:spacing w:after="0" w:line="240" w:lineRule="auto"/>
        <w:rPr>
          <w:rFonts w:ascii="Calibri" w:hAnsi="Calibri" w:cs="Tahoma"/>
          <w:bCs/>
        </w:rPr>
      </w:pPr>
      <w:r w:rsidRPr="006B763E">
        <w:rPr>
          <w:rFonts w:ascii="Calibri" w:hAnsi="Calibri" w:cs="Tahoma"/>
          <w:bCs/>
        </w:rPr>
        <w:t xml:space="preserve">Notranja Avstrija, kdaj bila ustanovljena. 1865. </w:t>
      </w:r>
      <w:r w:rsidRPr="006B763E">
        <w:rPr>
          <w:rFonts w:ascii="Calibri" w:hAnsi="Calibri" w:cs="Tahoma"/>
          <w:bCs/>
          <w:i/>
        </w:rPr>
        <w:t>Kmetijske in rokodelske novice</w:t>
      </w:r>
      <w:r w:rsidRPr="006B763E">
        <w:rPr>
          <w:rFonts w:ascii="Calibri" w:hAnsi="Calibri" w:cs="Tahoma"/>
          <w:bCs/>
        </w:rPr>
        <w:t>. let. 23, str. 281.</w:t>
      </w:r>
    </w:p>
    <w:p w:rsidR="00DA23E9" w:rsidRPr="00DA23E9" w:rsidRDefault="00DA23E9" w:rsidP="00DA23E9">
      <w:pPr>
        <w:autoSpaceDE w:val="0"/>
        <w:autoSpaceDN w:val="0"/>
        <w:adjustRightInd w:val="0"/>
        <w:spacing w:after="0" w:line="240" w:lineRule="auto"/>
        <w:rPr>
          <w:rFonts w:cs="Tahoma"/>
          <w:bCs/>
        </w:rPr>
      </w:pPr>
    </w:p>
    <w:p w:rsidR="00DA23E9" w:rsidRPr="006B763E" w:rsidRDefault="00DA23E9" w:rsidP="00DA23E9">
      <w:pPr>
        <w:pStyle w:val="ListParagraph"/>
        <w:numPr>
          <w:ilvl w:val="0"/>
          <w:numId w:val="3"/>
        </w:numPr>
        <w:rPr>
          <w:rStyle w:val="Hyperlink"/>
          <w:rFonts w:ascii="Calibri" w:hAnsi="Calibri"/>
          <w:color w:val="auto"/>
          <w:u w:val="none"/>
        </w:rPr>
      </w:pPr>
      <w:r w:rsidRPr="006B763E">
        <w:rPr>
          <w:rStyle w:val="Hyperlink"/>
          <w:rFonts w:ascii="Calibri" w:hAnsi="Calibri" w:cs="Tahoma"/>
          <w:i/>
          <w:color w:val="auto"/>
          <w:u w:val="none"/>
        </w:rPr>
        <w:t xml:space="preserve">Innerösterreich – Wikipedia. </w:t>
      </w:r>
      <w:r w:rsidRPr="006B763E">
        <w:rPr>
          <w:rStyle w:val="Hyperlink"/>
          <w:rFonts w:ascii="Calibri" w:hAnsi="Calibri" w:cs="Tahoma"/>
          <w:color w:val="auto"/>
          <w:u w:val="none"/>
        </w:rPr>
        <w:t>2012. [internet]. [citirano 30.03.2012]. Dostopno na naslovu: http://de.wikipedia.org/wiki/Inner%C3%B6sterreich.</w:t>
      </w:r>
    </w:p>
    <w:p w:rsidR="00DA23E9" w:rsidRPr="006B763E" w:rsidRDefault="00DA23E9" w:rsidP="00DA23E9">
      <w:pPr>
        <w:pStyle w:val="ListParagraph"/>
        <w:rPr>
          <w:rStyle w:val="Hyperlink"/>
          <w:rFonts w:ascii="Calibri" w:hAnsi="Calibri" w:cs="Tahoma"/>
          <w:color w:val="auto"/>
          <w:u w:val="none"/>
        </w:rPr>
      </w:pPr>
    </w:p>
    <w:p w:rsidR="00DA23E9" w:rsidRPr="006B763E" w:rsidRDefault="00DA23E9" w:rsidP="00DA23E9">
      <w:pPr>
        <w:pStyle w:val="ListParagraph"/>
        <w:numPr>
          <w:ilvl w:val="0"/>
          <w:numId w:val="3"/>
        </w:numPr>
        <w:rPr>
          <w:rFonts w:ascii="Calibri" w:hAnsi="Calibri"/>
          <w:i/>
        </w:rPr>
      </w:pPr>
      <w:r w:rsidRPr="006B763E">
        <w:rPr>
          <w:rFonts w:ascii="Calibri" w:hAnsi="Calibri" w:cs="Tahoma"/>
        </w:rPr>
        <w:t xml:space="preserve">Stergar, R. 2001. </w:t>
      </w:r>
      <w:r w:rsidRPr="006B763E">
        <w:rPr>
          <w:rFonts w:ascii="Calibri" w:hAnsi="Calibri" w:cs="Tahoma"/>
          <w:i/>
        </w:rPr>
        <w:t xml:space="preserve">Slovenci v habsburški armadi. </w:t>
      </w:r>
      <w:r w:rsidRPr="006B763E">
        <w:rPr>
          <w:rFonts w:ascii="Calibri" w:hAnsi="Calibri" w:cs="Tahoma"/>
        </w:rPr>
        <w:t>[internet]. [citirano 29.03.2012]. Dostopno na naslovu: http://www2.arnes.si/~krsrd1/conference /Speeches/Stergar_slo.htm.</w:t>
      </w:r>
    </w:p>
    <w:sectPr w:rsidR="00DA23E9" w:rsidRPr="006B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1FA3"/>
    <w:multiLevelType w:val="hybridMultilevel"/>
    <w:tmpl w:val="CEBEE8C4"/>
    <w:lvl w:ilvl="0" w:tplc="6CCE9036">
      <w:numFmt w:val="bullet"/>
      <w:lvlText w:val="-"/>
      <w:lvlJc w:val="left"/>
      <w:pPr>
        <w:tabs>
          <w:tab w:val="num" w:pos="720"/>
        </w:tabs>
        <w:ind w:left="720" w:hanging="360"/>
      </w:pPr>
      <w:rPr>
        <w:rFonts w:ascii="Times New Roman" w:eastAsia="MS Mincho"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714F9"/>
    <w:multiLevelType w:val="hybridMultilevel"/>
    <w:tmpl w:val="895E7858"/>
    <w:lvl w:ilvl="0" w:tplc="CD18B35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11E53A9"/>
    <w:multiLevelType w:val="multilevel"/>
    <w:tmpl w:val="A028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3E9"/>
    <w:rsid w:val="00525243"/>
    <w:rsid w:val="006B763E"/>
    <w:rsid w:val="00916665"/>
    <w:rsid w:val="00D50688"/>
    <w:rsid w:val="00DA23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A23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DA23E9"/>
    <w:pPr>
      <w:spacing w:before="100" w:beforeAutospacing="1" w:after="100" w:afterAutospacing="1" w:line="240" w:lineRule="auto"/>
      <w:outlineLvl w:val="1"/>
    </w:pPr>
    <w:rPr>
      <w:rFonts w:ascii="Times New Roman" w:eastAsia="Times New Roman" w:hAnsi="Times New Roman"/>
      <w:b/>
      <w:bCs/>
      <w:sz w:val="36"/>
      <w:szCs w:val="36"/>
      <w:lang w:val="sl-SI" w:eastAsia="sl-SI"/>
    </w:rPr>
  </w:style>
  <w:style w:type="paragraph" w:styleId="Heading4">
    <w:name w:val="heading 4"/>
    <w:basedOn w:val="Normal"/>
    <w:next w:val="Normal"/>
    <w:link w:val="Heading4Char"/>
    <w:uiPriority w:val="9"/>
    <w:unhideWhenUsed/>
    <w:qFormat/>
    <w:rsid w:val="00DA23E9"/>
    <w:pPr>
      <w:keepNext/>
      <w:keepLines/>
      <w:spacing w:before="200" w:after="0"/>
      <w:outlineLvl w:val="3"/>
    </w:pPr>
    <w:rPr>
      <w:rFonts w:ascii="Arial" w:eastAsia="Times New Roman" w:hAnsi="Arial"/>
      <w:b/>
      <w:bCs/>
      <w:i/>
      <w:iCs/>
      <w:color w:val="25E725"/>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rsid w:val="00DA23E9"/>
  </w:style>
  <w:style w:type="character" w:customStyle="1" w:styleId="Heading2Char">
    <w:name w:val="Heading 2 Char"/>
    <w:link w:val="Heading2"/>
    <w:uiPriority w:val="9"/>
    <w:semiHidden/>
    <w:rsid w:val="00DA23E9"/>
    <w:rPr>
      <w:rFonts w:ascii="Times New Roman" w:eastAsia="Times New Roman" w:hAnsi="Times New Roman" w:cs="Times New Roman"/>
      <w:b/>
      <w:bCs/>
      <w:sz w:val="36"/>
      <w:szCs w:val="36"/>
      <w:lang w:val="sl-SI" w:eastAsia="sl-SI"/>
    </w:rPr>
  </w:style>
  <w:style w:type="character" w:customStyle="1" w:styleId="Heading4Char">
    <w:name w:val="Heading 4 Char"/>
    <w:link w:val="Heading4"/>
    <w:uiPriority w:val="9"/>
    <w:rsid w:val="00DA23E9"/>
    <w:rPr>
      <w:rFonts w:ascii="Arial" w:eastAsia="Times New Roman" w:hAnsi="Arial" w:cs="Times New Roman"/>
      <w:b/>
      <w:bCs/>
      <w:i/>
      <w:iCs/>
      <w:color w:val="25E725"/>
      <w:lang w:val="sl-SI"/>
    </w:rPr>
  </w:style>
  <w:style w:type="character" w:customStyle="1" w:styleId="Heading1Char">
    <w:name w:val="Heading 1 Char"/>
    <w:link w:val="Heading1"/>
    <w:uiPriority w:val="9"/>
    <w:rsid w:val="00DA23E9"/>
    <w:rPr>
      <w:rFonts w:ascii="Cambria" w:eastAsia="Times New Roman" w:hAnsi="Cambria" w:cs="Times New Roman"/>
      <w:b/>
      <w:bCs/>
      <w:color w:val="365F91"/>
      <w:sz w:val="28"/>
      <w:szCs w:val="28"/>
    </w:rPr>
  </w:style>
  <w:style w:type="character" w:styleId="Hyperlink">
    <w:name w:val="Hyperlink"/>
    <w:uiPriority w:val="99"/>
    <w:semiHidden/>
    <w:unhideWhenUsed/>
    <w:rsid w:val="00DA23E9"/>
    <w:rPr>
      <w:color w:val="0000FF"/>
      <w:u w:val="single"/>
    </w:rPr>
  </w:style>
  <w:style w:type="paragraph" w:styleId="NormalWeb">
    <w:name w:val="Normal (Web)"/>
    <w:basedOn w:val="Normal"/>
    <w:uiPriority w:val="99"/>
    <w:semiHidden/>
    <w:unhideWhenUsed/>
    <w:rsid w:val="00DA23E9"/>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Caption">
    <w:name w:val="caption"/>
    <w:basedOn w:val="Normal"/>
    <w:next w:val="Normal"/>
    <w:uiPriority w:val="35"/>
    <w:semiHidden/>
    <w:unhideWhenUsed/>
    <w:qFormat/>
    <w:rsid w:val="00DA23E9"/>
    <w:pPr>
      <w:spacing w:line="240" w:lineRule="auto"/>
    </w:pPr>
    <w:rPr>
      <w:rFonts w:ascii="Times New Roman" w:eastAsia="Times New Roman" w:hAnsi="Times New Roman"/>
      <w:b/>
      <w:bCs/>
      <w:color w:val="25E725"/>
      <w:sz w:val="18"/>
      <w:szCs w:val="18"/>
      <w:lang w:val="sl-SI"/>
    </w:rPr>
  </w:style>
  <w:style w:type="paragraph" w:styleId="BodyText">
    <w:name w:val="Body Text"/>
    <w:basedOn w:val="Normal"/>
    <w:link w:val="BodyTextChar"/>
    <w:uiPriority w:val="99"/>
    <w:semiHidden/>
    <w:unhideWhenUsed/>
    <w:rsid w:val="00DA23E9"/>
    <w:pPr>
      <w:spacing w:after="0" w:line="240" w:lineRule="auto"/>
      <w:jc w:val="both"/>
    </w:pPr>
    <w:rPr>
      <w:rFonts w:ascii="Arial" w:eastAsia="MS Mincho" w:hAnsi="Arial" w:cs="Arial"/>
      <w:sz w:val="20"/>
      <w:szCs w:val="20"/>
      <w:lang w:val="sl-SI" w:eastAsia="ja-JP"/>
    </w:rPr>
  </w:style>
  <w:style w:type="character" w:customStyle="1" w:styleId="BodyTextChar">
    <w:name w:val="Body Text Char"/>
    <w:link w:val="BodyText"/>
    <w:uiPriority w:val="99"/>
    <w:semiHidden/>
    <w:rsid w:val="00DA23E9"/>
    <w:rPr>
      <w:rFonts w:ascii="Arial" w:eastAsia="MS Mincho" w:hAnsi="Arial" w:cs="Arial"/>
      <w:sz w:val="20"/>
      <w:szCs w:val="20"/>
      <w:lang w:val="sl-SI" w:eastAsia="ja-JP"/>
    </w:rPr>
  </w:style>
  <w:style w:type="paragraph" w:styleId="ListParagraph">
    <w:name w:val="List Paragraph"/>
    <w:basedOn w:val="Normal"/>
    <w:uiPriority w:val="34"/>
    <w:qFormat/>
    <w:rsid w:val="00DA23E9"/>
    <w:pPr>
      <w:ind w:left="720"/>
      <w:contextualSpacing/>
    </w:pPr>
    <w:rPr>
      <w:rFonts w:ascii="Times New Roman" w:eastAsia="Times New Roman" w:hAnsi="Times New Roman"/>
      <w:lang w:val="sl-SI"/>
    </w:rPr>
  </w:style>
  <w:style w:type="paragraph" w:styleId="BalloonText">
    <w:name w:val="Balloon Text"/>
    <w:basedOn w:val="Normal"/>
    <w:link w:val="BalloonTextChar"/>
    <w:uiPriority w:val="99"/>
    <w:semiHidden/>
    <w:unhideWhenUsed/>
    <w:rsid w:val="00DA23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4459">
      <w:bodyDiv w:val="1"/>
      <w:marLeft w:val="0"/>
      <w:marRight w:val="0"/>
      <w:marTop w:val="0"/>
      <w:marBottom w:val="0"/>
      <w:divBdr>
        <w:top w:val="none" w:sz="0" w:space="0" w:color="auto"/>
        <w:left w:val="none" w:sz="0" w:space="0" w:color="auto"/>
        <w:bottom w:val="none" w:sz="0" w:space="0" w:color="auto"/>
        <w:right w:val="none" w:sz="0" w:space="0" w:color="auto"/>
      </w:divBdr>
    </w:div>
    <w:div w:id="1746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ranjs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Koro%C5%A1ka_%28vojvodina%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C5%A0tajerska_%28vojvodina%29" TargetMode="External"/><Relationship Id="rId11" Type="http://schemas.openxmlformats.org/officeDocument/2006/relationships/hyperlink" Target="http://sl.wikipedia.org/wiki/Avstrijsko_cesarstvo" TargetMode="External"/><Relationship Id="rId5" Type="http://schemas.openxmlformats.org/officeDocument/2006/relationships/hyperlink" Target="http://sl.wikipedia.org/wiki/Habsbur%C5%BEani" TargetMode="External"/><Relationship Id="rId10" Type="http://schemas.openxmlformats.org/officeDocument/2006/relationships/hyperlink" Target="http://sl.wikipedia.org/wiki/Turki" TargetMode="External"/><Relationship Id="rId4" Type="http://schemas.openxmlformats.org/officeDocument/2006/relationships/webSettings" Target="webSettings.xml"/><Relationship Id="rId9" Type="http://schemas.openxmlformats.org/officeDocument/2006/relationships/hyperlink" Target="http://sl.wikipedia.org/wiki/Avstrijsko_primor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Links>
    <vt:vector size="42" baseType="variant">
      <vt:variant>
        <vt:i4>3539030</vt:i4>
      </vt:variant>
      <vt:variant>
        <vt:i4>18</vt:i4>
      </vt:variant>
      <vt:variant>
        <vt:i4>0</vt:i4>
      </vt:variant>
      <vt:variant>
        <vt:i4>5</vt:i4>
      </vt:variant>
      <vt:variant>
        <vt:lpwstr>http://sl.wikipedia.org/wiki/Avstrijsko_cesarstvo</vt:lpwstr>
      </vt:variant>
      <vt:variant>
        <vt:lpwstr/>
      </vt:variant>
      <vt:variant>
        <vt:i4>6684713</vt:i4>
      </vt:variant>
      <vt:variant>
        <vt:i4>15</vt:i4>
      </vt:variant>
      <vt:variant>
        <vt:i4>0</vt:i4>
      </vt:variant>
      <vt:variant>
        <vt:i4>5</vt:i4>
      </vt:variant>
      <vt:variant>
        <vt:lpwstr>http://sl.wikipedia.org/wiki/Turki</vt:lpwstr>
      </vt:variant>
      <vt:variant>
        <vt:lpwstr/>
      </vt:variant>
      <vt:variant>
        <vt:i4>4128860</vt:i4>
      </vt:variant>
      <vt:variant>
        <vt:i4>12</vt:i4>
      </vt:variant>
      <vt:variant>
        <vt:i4>0</vt:i4>
      </vt:variant>
      <vt:variant>
        <vt:i4>5</vt:i4>
      </vt:variant>
      <vt:variant>
        <vt:lpwstr>http://sl.wikipedia.org/wiki/Avstrijsko_primorje</vt:lpwstr>
      </vt:variant>
      <vt:variant>
        <vt:lpwstr/>
      </vt:variant>
      <vt:variant>
        <vt:i4>131160</vt:i4>
      </vt:variant>
      <vt:variant>
        <vt:i4>9</vt:i4>
      </vt:variant>
      <vt:variant>
        <vt:i4>0</vt:i4>
      </vt:variant>
      <vt:variant>
        <vt:i4>5</vt:i4>
      </vt:variant>
      <vt:variant>
        <vt:lpwstr>http://sl.wikipedia.org/wiki/Kranjska</vt:lpwstr>
      </vt:variant>
      <vt:variant>
        <vt:lpwstr/>
      </vt:variant>
      <vt:variant>
        <vt:i4>3014666</vt:i4>
      </vt:variant>
      <vt:variant>
        <vt:i4>6</vt:i4>
      </vt:variant>
      <vt:variant>
        <vt:i4>0</vt:i4>
      </vt:variant>
      <vt:variant>
        <vt:i4>5</vt:i4>
      </vt:variant>
      <vt:variant>
        <vt:lpwstr>http://sl.wikipedia.org/wiki/Koro%C5%A1ka_%28vojvodina%29</vt:lpwstr>
      </vt:variant>
      <vt:variant>
        <vt:lpwstr/>
      </vt:variant>
      <vt:variant>
        <vt:i4>5963900</vt:i4>
      </vt:variant>
      <vt:variant>
        <vt:i4>3</vt:i4>
      </vt:variant>
      <vt:variant>
        <vt:i4>0</vt:i4>
      </vt:variant>
      <vt:variant>
        <vt:i4>5</vt:i4>
      </vt:variant>
      <vt:variant>
        <vt:lpwstr>http://sl.wikipedia.org/wiki/%C5%A0tajerska_%28vojvodina%29</vt:lpwstr>
      </vt:variant>
      <vt:variant>
        <vt:lpwstr/>
      </vt:variant>
      <vt:variant>
        <vt:i4>6160451</vt:i4>
      </vt:variant>
      <vt:variant>
        <vt:i4>0</vt:i4>
      </vt:variant>
      <vt:variant>
        <vt:i4>0</vt:i4>
      </vt:variant>
      <vt:variant>
        <vt:i4>5</vt:i4>
      </vt:variant>
      <vt:variant>
        <vt:lpwstr>http://sl.wikipedia.org/wiki/Habsbur%C5%BEani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