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5F63" w:rsidRDefault="000666B4">
      <w:pPr>
        <w:pStyle w:val="Title1"/>
      </w:pPr>
      <w:bookmarkStart w:id="0" w:name="_GoBack"/>
      <w:bookmarkEnd w:id="0"/>
      <w:r>
        <w:t>Seminarska naloga za zgodovino</w:t>
      </w:r>
    </w:p>
    <w:p w:rsidR="00395F63" w:rsidRDefault="00395F63">
      <w:pPr>
        <w:pStyle w:val="NameCourseInformation"/>
      </w:pPr>
    </w:p>
    <w:p w:rsidR="00395F63" w:rsidRDefault="00395F63">
      <w:pPr>
        <w:pStyle w:val="NameCourseInformation"/>
      </w:pPr>
    </w:p>
    <w:p w:rsidR="00395F63" w:rsidRDefault="00F40F12">
      <w:pPr>
        <w:pStyle w:val="NameCourseInformation"/>
      </w:pPr>
      <w:r>
        <w:rPr>
          <w:noProof/>
        </w:rPr>
        <w:pict>
          <v:group id="_x0000_s1026" style="position:absolute;left:0;text-align:left;margin-left:55.05pt;margin-top:393.55pt;width:282pt;height:225pt;z-index:251651584;mso-wrap-distance-left:12pt;mso-wrap-distance-top:12pt;mso-wrap-distance-right:12pt;mso-wrap-distance-bottom:12pt;mso-position-horizontal-relative:page;mso-position-vertical-relative:page" coordsize="5640,4500">
            <v:shape id="_x0000_s1027" style="position:absolute;left:230;top:214;width:5160;height:3865;rotation:-2" coordsize="21600,21600" o:spt="100" adj="0,,0" path="" strokeweight="1pt">
              <v:stroke joinstyle="round"/>
              <v:imagedata r:id="rId7" o:title="" croptop="-72f" cropbottom="72f" cropleft="3327f" cropright="3577f"/>
              <v:formulas/>
              <v:path o:connecttype="segments"/>
            </v:shape>
            <v:shape id="_x0000_s1028" style="position:absolute;width:5640;height:4500" coordsize="21600,21600" o:spt="100" adj="0,,0" path="" strokeweight="1pt">
              <v:stroke joinstyle="round"/>
              <v:imagedata r:id="rId8" o:title=""/>
              <v:formulas/>
              <v:path o:connecttype="segments"/>
            </v:shape>
            <w10:wrap type="topAndBottom" anchorx="page" anchory="page"/>
          </v:group>
        </w:pict>
      </w:r>
      <w:r>
        <w:rPr>
          <w:noProof/>
        </w:rPr>
        <w:pict>
          <v:group id="_x0000_s1029" style="position:absolute;left:0;text-align:left;margin-left:307pt;margin-top:365pt;width:265pt;height:213pt;z-index:251652608;mso-wrap-distance-left:12pt;mso-wrap-distance-top:12pt;mso-wrap-distance-right:12pt;mso-wrap-distance-bottom:12pt;mso-position-horizontal-relative:page;mso-position-vertical-relative:page" coordsize="5300,4260">
            <v:shape id="_x0000_s1030" style="position:absolute;left:233;top:209;width:4840;height:3625;rotation:-358" coordsize="21600,21600" o:spt="100" adj="0,,0" path="" strokeweight="1pt">
              <v:stroke joinstyle="round"/>
              <v:imagedata r:id="rId9" o:title="" croptop="106f" cropbottom="-10f" cropleft="-118f" cropright="118f"/>
              <v:formulas/>
              <v:path o:connecttype="segments"/>
            </v:shape>
            <v:shape id="_x0000_s1031" style="position:absolute;width:5300;height:4260" coordsize="21600,21600" o:spt="100" adj="0,,0" path="" strokeweight="1pt">
              <v:stroke joinstyle="round"/>
              <v:imagedata r:id="rId10" o:title=""/>
              <v:formulas/>
              <v:path o:connecttype="segments"/>
            </v:shape>
            <w10:wrap type="topAndBottom" anchorx="page" anchory="page"/>
          </v:group>
        </w:pict>
      </w:r>
      <w:r>
        <w:rPr>
          <w:noProof/>
        </w:rPr>
        <w:pict>
          <v:group id="_x0000_s1032" style="position:absolute;left:0;text-align:left;margin-left:182pt;margin-top:240.05pt;width:268pt;height:211pt;z-index:251653632;mso-wrap-distance-left:12pt;mso-wrap-distance-top:12pt;mso-wrap-distance-right:12pt;mso-wrap-distance-bottom:12pt;mso-position-horizontal-relative:page;mso-position-vertical-relative:page" coordsize="5360,4220">
            <v:shape id="_x0000_s1033" style="position:absolute;left:160;top:120;width:5040;height:3774" coordsize="21600,21600" o:spt="100" adj="0,,0" path="" strokeweight="1pt">
              <v:stroke joinstyle="round"/>
              <v:imagedata r:id="rId11" o:title="" croptop="14441f" cropbottom="14284f"/>
              <v:formulas/>
              <v:path o:connecttype="segments"/>
            </v:shape>
            <v:shape id="_x0000_s1034" style="position:absolute;width:5360;height:4220" coordsize="21600,21600" o:spt="100" adj="0,,0" path="" strokeweight="1pt">
              <v:stroke joinstyle="round"/>
              <v:imagedata r:id="rId12" o:title=""/>
              <v:formulas/>
              <v:path o:connecttype="segments"/>
            </v:shape>
            <w10:wrap type="topAndBottom" anchorx="page" anchory="page"/>
          </v:group>
        </w:pict>
      </w:r>
      <w:r>
        <w:rPr>
          <w:noProof/>
        </w:rPr>
        <w:pict>
          <v:group id="_x0000_s1035" style="position:absolute;left:0;text-align:left;margin-left:264pt;margin-top:-1pt;width:68pt;height:104pt;z-index:251654656;mso-wrap-distance-left:12pt;mso-wrap-distance-top:12pt;mso-wrap-distance-right:12pt;mso-wrap-distance-bottom:12pt;mso-position-horizontal-relative:page;mso-position-vertical-relative:page" coordsize="1360,2080" wrapcoords="0 0 -237 155 -237 20823 0 21445 21363 21445 21600 20823 21600 155 21363 0 0 0">
            <v:shape id="_x0000_s1036" style="position:absolute;left:160;top:120;width:1040;height:1625" coordsize="21600,21600" o:spt="100" adj="0,,0" path="" strokeweight="1pt">
              <v:stroke joinstyle="round"/>
              <v:imagedata r:id="rId13" o:title=""/>
              <v:formulas/>
              <v:path o:connecttype="segments"/>
            </v:shape>
            <v:shape id="_x0000_s1037" style="position:absolute;width:1360;height:2080" coordsize="21600,21600" o:spt="100" adj="0,,0" path="" strokeweight="1pt">
              <v:stroke joinstyle="round"/>
              <v:imagedata r:id="rId14" o:title=""/>
              <v:formulas/>
              <v:path o:connecttype="segments"/>
            </v:shape>
            <w10:wrap type="through" anchorx="page" anchory="page"/>
          </v:group>
        </w:pict>
      </w:r>
    </w:p>
    <w:p w:rsidR="00395F63" w:rsidRDefault="00395F63">
      <w:pPr>
        <w:pStyle w:val="NameCourseInformation"/>
        <w:sectPr w:rsidR="00395F63">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134" w:header="709" w:footer="709" w:gutter="0"/>
          <w:cols w:space="708"/>
        </w:sectPr>
      </w:pPr>
    </w:p>
    <w:p w:rsidR="00395F63" w:rsidRDefault="000666B4">
      <w:pPr>
        <w:pStyle w:val="NameCourseInformation"/>
      </w:pPr>
      <w:r>
        <w:lastRenderedPageBreak/>
        <w:t>Kazalo</w:t>
      </w:r>
    </w:p>
    <w:p w:rsidR="00395F63" w:rsidRDefault="000666B4">
      <w:pPr>
        <w:pStyle w:val="TOCHeading1"/>
        <w:rPr>
          <w:rFonts w:ascii="Arial" w:hAnsi="Arial"/>
        </w:rPr>
      </w:pPr>
      <w:r>
        <w:rPr>
          <w:rFonts w:ascii="Arial" w:hAnsi="Arial"/>
        </w:rPr>
        <w:fldChar w:fldCharType="begin"/>
      </w:r>
      <w:r>
        <w:rPr>
          <w:rFonts w:ascii="Arial" w:hAnsi="Arial"/>
        </w:rPr>
        <w:instrText xml:space="preserve"> TOC \t "Title,7,Glavni,3,Heading 1,3,Heading 8,1,Heading 3,1,Heading 7,1,Heading 6,1,Heading 5,1,Heading 9,1,Heading 4,1,Podnaslov,5,Heading 2,6,heading 2,4,heading 1,2" \n 1-1 </w:instrText>
      </w:r>
      <w:r>
        <w:rPr>
          <w:rFonts w:ascii="Arial" w:hAnsi="Arial"/>
        </w:rPr>
        <w:fldChar w:fldCharType="separate"/>
      </w:r>
      <w:r>
        <w:rPr>
          <w:rFonts w:ascii="Arial" w:hAnsi="Arial"/>
        </w:rPr>
        <w:t>Uvod</w:t>
      </w:r>
      <w:r>
        <w:rPr>
          <w:rFonts w:ascii="Arial" w:hAnsi="Arial"/>
        </w:rPr>
        <w:tab/>
      </w:r>
      <w:r>
        <w:rPr>
          <w:rFonts w:ascii="Arial" w:hAnsi="Arial"/>
        </w:rPr>
        <w:fldChar w:fldCharType="begin"/>
      </w:r>
      <w:r>
        <w:rPr>
          <w:rFonts w:ascii="Arial" w:hAnsi="Arial"/>
        </w:rPr>
        <w:instrText xml:space="preserve"> PAGEREF _TOC430 \h </w:instrText>
      </w:r>
      <w:r>
        <w:rPr>
          <w:rFonts w:ascii="Arial" w:hAnsi="Arial"/>
        </w:rPr>
      </w:r>
      <w:r>
        <w:rPr>
          <w:rFonts w:ascii="Arial" w:hAnsi="Arial"/>
        </w:rPr>
        <w:fldChar w:fldCharType="separate"/>
      </w:r>
      <w:r>
        <w:rPr>
          <w:rFonts w:ascii="Arial" w:hAnsi="Arial"/>
        </w:rPr>
        <w:t>3</w:t>
      </w:r>
      <w:r>
        <w:rPr>
          <w:rFonts w:ascii="Arial" w:hAnsi="Arial"/>
        </w:rPr>
        <w:fldChar w:fldCharType="end"/>
      </w:r>
    </w:p>
    <w:p w:rsidR="00395F63" w:rsidRDefault="000666B4">
      <w:pPr>
        <w:pStyle w:val="TOCHeading1"/>
        <w:rPr>
          <w:rFonts w:ascii="Arial" w:hAnsi="Arial"/>
        </w:rPr>
      </w:pPr>
      <w:r>
        <w:rPr>
          <w:rFonts w:ascii="Arial" w:hAnsi="Arial"/>
        </w:rPr>
        <w:t>Rimske ceste na Slovenskem</w:t>
      </w:r>
      <w:r>
        <w:rPr>
          <w:rFonts w:ascii="Arial" w:hAnsi="Arial"/>
        </w:rPr>
        <w:tab/>
      </w:r>
      <w:r>
        <w:rPr>
          <w:rFonts w:ascii="Arial" w:hAnsi="Arial"/>
        </w:rPr>
        <w:fldChar w:fldCharType="begin"/>
      </w:r>
      <w:r>
        <w:rPr>
          <w:rFonts w:ascii="Arial" w:hAnsi="Arial"/>
        </w:rPr>
        <w:instrText xml:space="preserve"> PAGEREF _TOC1208 \h </w:instrText>
      </w:r>
      <w:r>
        <w:rPr>
          <w:rFonts w:ascii="Arial" w:hAnsi="Arial"/>
        </w:rPr>
      </w:r>
      <w:r>
        <w:rPr>
          <w:rFonts w:ascii="Arial" w:hAnsi="Arial"/>
        </w:rPr>
        <w:fldChar w:fldCharType="separate"/>
      </w:r>
      <w:r>
        <w:rPr>
          <w:rFonts w:ascii="Arial" w:hAnsi="Arial"/>
        </w:rPr>
        <w:t>4</w:t>
      </w:r>
      <w:r>
        <w:rPr>
          <w:rFonts w:ascii="Arial" w:hAnsi="Arial"/>
        </w:rPr>
        <w:fldChar w:fldCharType="end"/>
      </w:r>
    </w:p>
    <w:p w:rsidR="00395F63" w:rsidRDefault="000666B4">
      <w:pPr>
        <w:pStyle w:val="TOC11"/>
        <w:rPr>
          <w:rFonts w:ascii="Arial" w:hAnsi="Arial"/>
        </w:rPr>
      </w:pPr>
      <w:r>
        <w:rPr>
          <w:rFonts w:ascii="Arial" w:hAnsi="Arial"/>
        </w:rPr>
        <w:t>Splošno o Rimskih cestah</w:t>
      </w:r>
      <w:r>
        <w:rPr>
          <w:rFonts w:ascii="Arial" w:hAnsi="Arial"/>
        </w:rPr>
        <w:tab/>
      </w:r>
      <w:r>
        <w:rPr>
          <w:rFonts w:ascii="Arial" w:hAnsi="Arial"/>
        </w:rPr>
        <w:fldChar w:fldCharType="begin"/>
      </w:r>
      <w:r>
        <w:rPr>
          <w:rFonts w:ascii="Arial" w:hAnsi="Arial"/>
        </w:rPr>
        <w:instrText xml:space="preserve"> PAGEREF _TOC1235 \h </w:instrText>
      </w:r>
      <w:r>
        <w:rPr>
          <w:rFonts w:ascii="Arial" w:hAnsi="Arial"/>
        </w:rPr>
      </w:r>
      <w:r>
        <w:rPr>
          <w:rFonts w:ascii="Arial" w:hAnsi="Arial"/>
        </w:rPr>
        <w:fldChar w:fldCharType="separate"/>
      </w:r>
      <w:r>
        <w:rPr>
          <w:rFonts w:ascii="Arial" w:hAnsi="Arial"/>
        </w:rPr>
        <w:t>4</w:t>
      </w:r>
      <w:r>
        <w:rPr>
          <w:rFonts w:ascii="Arial" w:hAnsi="Arial"/>
        </w:rPr>
        <w:fldChar w:fldCharType="end"/>
      </w:r>
    </w:p>
    <w:p w:rsidR="00395F63" w:rsidRDefault="000666B4">
      <w:pPr>
        <w:pStyle w:val="TOC11"/>
        <w:rPr>
          <w:rFonts w:ascii="Arial" w:hAnsi="Arial"/>
        </w:rPr>
      </w:pPr>
      <w:r>
        <w:rPr>
          <w:rFonts w:ascii="Arial" w:hAnsi="Arial"/>
        </w:rPr>
        <w:t>Ohranjenost</w:t>
      </w:r>
      <w:r>
        <w:rPr>
          <w:rFonts w:ascii="Arial" w:hAnsi="Arial"/>
        </w:rPr>
        <w:tab/>
      </w:r>
      <w:r>
        <w:rPr>
          <w:rFonts w:ascii="Arial" w:hAnsi="Arial"/>
        </w:rPr>
        <w:fldChar w:fldCharType="begin"/>
      </w:r>
      <w:r>
        <w:rPr>
          <w:rFonts w:ascii="Arial" w:hAnsi="Arial"/>
        </w:rPr>
        <w:instrText xml:space="preserve"> PAGEREF _TOC1621 \h </w:instrText>
      </w:r>
      <w:r>
        <w:rPr>
          <w:rFonts w:ascii="Arial" w:hAnsi="Arial"/>
        </w:rPr>
      </w:r>
      <w:r>
        <w:rPr>
          <w:rFonts w:ascii="Arial" w:hAnsi="Arial"/>
        </w:rPr>
        <w:fldChar w:fldCharType="separate"/>
      </w:r>
      <w:r>
        <w:rPr>
          <w:rFonts w:ascii="Arial" w:hAnsi="Arial"/>
        </w:rPr>
        <w:t>4</w:t>
      </w:r>
      <w:r>
        <w:rPr>
          <w:rFonts w:ascii="Arial" w:hAnsi="Arial"/>
        </w:rPr>
        <w:fldChar w:fldCharType="end"/>
      </w:r>
    </w:p>
    <w:p w:rsidR="00395F63" w:rsidRDefault="000666B4">
      <w:pPr>
        <w:pStyle w:val="TOC11"/>
        <w:rPr>
          <w:rFonts w:ascii="Arial" w:hAnsi="Arial"/>
        </w:rPr>
      </w:pPr>
      <w:r>
        <w:rPr>
          <w:rFonts w:ascii="Arial" w:hAnsi="Arial"/>
        </w:rPr>
        <w:t>Zgradba</w:t>
      </w:r>
      <w:r>
        <w:rPr>
          <w:rFonts w:ascii="Arial" w:hAnsi="Arial"/>
        </w:rPr>
        <w:tab/>
      </w:r>
      <w:r>
        <w:rPr>
          <w:rFonts w:ascii="Arial" w:hAnsi="Arial"/>
        </w:rPr>
        <w:fldChar w:fldCharType="begin"/>
      </w:r>
      <w:r>
        <w:rPr>
          <w:rFonts w:ascii="Arial" w:hAnsi="Arial"/>
        </w:rPr>
        <w:instrText xml:space="preserve"> PAGEREF _TOC2171 \h </w:instrText>
      </w:r>
      <w:r>
        <w:rPr>
          <w:rFonts w:ascii="Arial" w:hAnsi="Arial"/>
        </w:rPr>
      </w:r>
      <w:r>
        <w:rPr>
          <w:rFonts w:ascii="Arial" w:hAnsi="Arial"/>
        </w:rPr>
        <w:fldChar w:fldCharType="separate"/>
      </w:r>
      <w:r>
        <w:rPr>
          <w:rFonts w:ascii="Arial" w:hAnsi="Arial"/>
        </w:rPr>
        <w:t>4</w:t>
      </w:r>
      <w:r>
        <w:rPr>
          <w:rFonts w:ascii="Arial" w:hAnsi="Arial"/>
        </w:rPr>
        <w:fldChar w:fldCharType="end"/>
      </w:r>
    </w:p>
    <w:p w:rsidR="00395F63" w:rsidRDefault="000666B4">
      <w:pPr>
        <w:pStyle w:val="TOC11"/>
        <w:rPr>
          <w:rFonts w:ascii="Arial" w:hAnsi="Arial"/>
        </w:rPr>
      </w:pPr>
      <w:r>
        <w:rPr>
          <w:rFonts w:ascii="Arial" w:hAnsi="Arial"/>
        </w:rPr>
        <w:t>Rimske ceste na Slovenskem</w:t>
      </w:r>
      <w:r>
        <w:rPr>
          <w:rFonts w:ascii="Arial" w:hAnsi="Arial"/>
        </w:rPr>
        <w:tab/>
      </w:r>
      <w:r>
        <w:rPr>
          <w:rFonts w:ascii="Arial" w:hAnsi="Arial"/>
        </w:rPr>
        <w:fldChar w:fldCharType="begin"/>
      </w:r>
      <w:r>
        <w:rPr>
          <w:rFonts w:ascii="Arial" w:hAnsi="Arial"/>
        </w:rPr>
        <w:instrText xml:space="preserve"> PAGEREF _TOC3502 \h </w:instrText>
      </w:r>
      <w:r>
        <w:rPr>
          <w:rFonts w:ascii="Arial" w:hAnsi="Arial"/>
        </w:rPr>
      </w:r>
      <w:r>
        <w:rPr>
          <w:rFonts w:ascii="Arial" w:hAnsi="Arial"/>
        </w:rPr>
        <w:fldChar w:fldCharType="separate"/>
      </w:r>
      <w:r>
        <w:rPr>
          <w:rFonts w:ascii="Arial" w:hAnsi="Arial"/>
        </w:rPr>
        <w:t>6</w:t>
      </w:r>
      <w:r>
        <w:rPr>
          <w:rFonts w:ascii="Arial" w:hAnsi="Arial"/>
        </w:rPr>
        <w:fldChar w:fldCharType="end"/>
      </w:r>
    </w:p>
    <w:p w:rsidR="00395F63" w:rsidRDefault="000666B4">
      <w:pPr>
        <w:pStyle w:val="TOCHeading1"/>
      </w:pPr>
      <w:r>
        <w:t>Potek ekskurzije</w:t>
      </w:r>
      <w:r>
        <w:tab/>
      </w:r>
      <w:r>
        <w:fldChar w:fldCharType="begin"/>
      </w:r>
      <w:r>
        <w:instrText xml:space="preserve"> PAGEREF _TOC4138 \h </w:instrText>
      </w:r>
      <w:r>
        <w:fldChar w:fldCharType="separate"/>
      </w:r>
      <w:r>
        <w:t>7</w:t>
      </w:r>
      <w:r>
        <w:fldChar w:fldCharType="end"/>
      </w:r>
    </w:p>
    <w:p w:rsidR="00395F63" w:rsidRDefault="000666B4">
      <w:pPr>
        <w:pStyle w:val="TOC11"/>
        <w:rPr>
          <w:rFonts w:ascii="Arial" w:hAnsi="Arial"/>
        </w:rPr>
      </w:pPr>
      <w:r>
        <w:rPr>
          <w:rFonts w:ascii="Arial" w:hAnsi="Arial"/>
        </w:rPr>
        <w:t>Škofja Loka</w:t>
      </w:r>
      <w:r>
        <w:rPr>
          <w:rFonts w:ascii="Arial" w:hAnsi="Arial"/>
        </w:rPr>
        <w:tab/>
      </w:r>
      <w:r>
        <w:rPr>
          <w:rFonts w:ascii="Arial" w:hAnsi="Arial"/>
        </w:rPr>
        <w:fldChar w:fldCharType="begin"/>
      </w:r>
      <w:r>
        <w:rPr>
          <w:rFonts w:ascii="Arial" w:hAnsi="Arial"/>
        </w:rPr>
        <w:instrText xml:space="preserve"> PAGEREF _TOC4155 \h </w:instrText>
      </w:r>
      <w:r>
        <w:rPr>
          <w:rFonts w:ascii="Arial" w:hAnsi="Arial"/>
        </w:rPr>
      </w:r>
      <w:r>
        <w:rPr>
          <w:rFonts w:ascii="Arial" w:hAnsi="Arial"/>
        </w:rPr>
        <w:fldChar w:fldCharType="separate"/>
      </w:r>
      <w:r>
        <w:rPr>
          <w:rFonts w:ascii="Arial" w:hAnsi="Arial"/>
        </w:rPr>
        <w:t>7</w:t>
      </w:r>
      <w:r>
        <w:rPr>
          <w:rFonts w:ascii="Arial" w:hAnsi="Arial"/>
        </w:rPr>
        <w:fldChar w:fldCharType="end"/>
      </w:r>
    </w:p>
    <w:p w:rsidR="00395F63" w:rsidRDefault="000666B4">
      <w:pPr>
        <w:pStyle w:val="TOC11"/>
        <w:rPr>
          <w:rFonts w:ascii="Arial" w:hAnsi="Arial"/>
        </w:rPr>
      </w:pPr>
      <w:r>
        <w:rPr>
          <w:rFonts w:ascii="Arial" w:hAnsi="Arial"/>
        </w:rPr>
        <w:t>Most na Soči</w:t>
      </w:r>
      <w:r>
        <w:rPr>
          <w:rFonts w:ascii="Arial" w:hAnsi="Arial"/>
        </w:rPr>
        <w:tab/>
      </w:r>
      <w:r>
        <w:rPr>
          <w:rFonts w:ascii="Arial" w:hAnsi="Arial"/>
        </w:rPr>
        <w:fldChar w:fldCharType="begin"/>
      </w:r>
      <w:r>
        <w:rPr>
          <w:rFonts w:ascii="Arial" w:hAnsi="Arial"/>
        </w:rPr>
        <w:instrText xml:space="preserve"> PAGEREF _TOC6278 \h </w:instrText>
      </w:r>
      <w:r>
        <w:rPr>
          <w:rFonts w:ascii="Arial" w:hAnsi="Arial"/>
        </w:rPr>
      </w:r>
      <w:r>
        <w:rPr>
          <w:rFonts w:ascii="Arial" w:hAnsi="Arial"/>
        </w:rPr>
        <w:fldChar w:fldCharType="separate"/>
      </w:r>
      <w:r>
        <w:rPr>
          <w:rFonts w:ascii="Arial" w:hAnsi="Arial"/>
        </w:rPr>
        <w:t>9</w:t>
      </w:r>
      <w:r>
        <w:rPr>
          <w:rFonts w:ascii="Arial" w:hAnsi="Arial"/>
        </w:rPr>
        <w:fldChar w:fldCharType="end"/>
      </w:r>
    </w:p>
    <w:p w:rsidR="00395F63" w:rsidRDefault="000666B4">
      <w:pPr>
        <w:pStyle w:val="TOC11"/>
        <w:rPr>
          <w:rFonts w:ascii="Arial" w:hAnsi="Arial"/>
        </w:rPr>
      </w:pPr>
      <w:r>
        <w:rPr>
          <w:rFonts w:ascii="Arial" w:hAnsi="Arial"/>
        </w:rPr>
        <w:t>Solkan</w:t>
      </w:r>
      <w:r>
        <w:rPr>
          <w:rFonts w:ascii="Arial" w:hAnsi="Arial"/>
        </w:rPr>
        <w:tab/>
      </w:r>
      <w:r>
        <w:rPr>
          <w:rFonts w:ascii="Arial" w:hAnsi="Arial"/>
        </w:rPr>
        <w:fldChar w:fldCharType="begin"/>
      </w:r>
      <w:r>
        <w:rPr>
          <w:rFonts w:ascii="Arial" w:hAnsi="Arial"/>
        </w:rPr>
        <w:instrText xml:space="preserve"> PAGEREF _TOC6507 \h </w:instrText>
      </w:r>
      <w:r>
        <w:rPr>
          <w:rFonts w:ascii="Arial" w:hAnsi="Arial"/>
        </w:rPr>
      </w:r>
      <w:r>
        <w:rPr>
          <w:rFonts w:ascii="Arial" w:hAnsi="Arial"/>
        </w:rPr>
        <w:fldChar w:fldCharType="separate"/>
      </w:r>
      <w:r>
        <w:rPr>
          <w:rFonts w:ascii="Arial" w:hAnsi="Arial"/>
        </w:rPr>
        <w:t>9</w:t>
      </w:r>
      <w:r>
        <w:rPr>
          <w:rFonts w:ascii="Arial" w:hAnsi="Arial"/>
        </w:rPr>
        <w:fldChar w:fldCharType="end"/>
      </w:r>
    </w:p>
    <w:p w:rsidR="00395F63" w:rsidRDefault="000666B4">
      <w:pPr>
        <w:pStyle w:val="TOC11"/>
        <w:rPr>
          <w:rFonts w:ascii="Arial" w:hAnsi="Arial"/>
        </w:rPr>
      </w:pPr>
      <w:r>
        <w:rPr>
          <w:rFonts w:ascii="Arial" w:hAnsi="Arial"/>
        </w:rPr>
        <w:t>Nova Gorica</w:t>
      </w:r>
      <w:r>
        <w:rPr>
          <w:rFonts w:ascii="Arial" w:hAnsi="Arial"/>
        </w:rPr>
        <w:tab/>
      </w:r>
      <w:r>
        <w:rPr>
          <w:rFonts w:ascii="Arial" w:hAnsi="Arial"/>
        </w:rPr>
        <w:fldChar w:fldCharType="begin"/>
      </w:r>
      <w:r>
        <w:rPr>
          <w:rFonts w:ascii="Arial" w:hAnsi="Arial"/>
        </w:rPr>
        <w:instrText xml:space="preserve"> PAGEREF _TOC7705 \h </w:instrText>
      </w:r>
      <w:r>
        <w:rPr>
          <w:rFonts w:ascii="Arial" w:hAnsi="Arial"/>
        </w:rPr>
      </w:r>
      <w:r>
        <w:rPr>
          <w:rFonts w:ascii="Arial" w:hAnsi="Arial"/>
        </w:rPr>
        <w:fldChar w:fldCharType="separate"/>
      </w:r>
      <w:r>
        <w:rPr>
          <w:rFonts w:ascii="Arial" w:hAnsi="Arial"/>
        </w:rPr>
        <w:t>10</w:t>
      </w:r>
      <w:r>
        <w:rPr>
          <w:rFonts w:ascii="Arial" w:hAnsi="Arial"/>
        </w:rPr>
        <w:fldChar w:fldCharType="end"/>
      </w:r>
    </w:p>
    <w:p w:rsidR="00395F63" w:rsidRDefault="000666B4">
      <w:pPr>
        <w:pStyle w:val="TOC11"/>
        <w:rPr>
          <w:rFonts w:ascii="Arial" w:hAnsi="Arial"/>
        </w:rPr>
      </w:pPr>
      <w:r>
        <w:rPr>
          <w:rFonts w:ascii="Arial" w:hAnsi="Arial"/>
        </w:rPr>
        <w:t>Ajdovščina</w:t>
      </w:r>
      <w:r>
        <w:rPr>
          <w:rFonts w:ascii="Arial" w:hAnsi="Arial"/>
        </w:rPr>
        <w:tab/>
      </w:r>
      <w:r>
        <w:rPr>
          <w:rFonts w:ascii="Arial" w:hAnsi="Arial"/>
        </w:rPr>
        <w:fldChar w:fldCharType="begin"/>
      </w:r>
      <w:r>
        <w:rPr>
          <w:rFonts w:ascii="Arial" w:hAnsi="Arial"/>
        </w:rPr>
        <w:instrText xml:space="preserve"> PAGEREF _TOC9120 \h </w:instrText>
      </w:r>
      <w:r>
        <w:rPr>
          <w:rFonts w:ascii="Arial" w:hAnsi="Arial"/>
        </w:rPr>
      </w:r>
      <w:r>
        <w:rPr>
          <w:rFonts w:ascii="Arial" w:hAnsi="Arial"/>
        </w:rPr>
        <w:fldChar w:fldCharType="separate"/>
      </w:r>
      <w:r>
        <w:rPr>
          <w:rFonts w:ascii="Arial" w:hAnsi="Arial"/>
        </w:rPr>
        <w:t>11</w:t>
      </w:r>
      <w:r>
        <w:rPr>
          <w:rFonts w:ascii="Arial" w:hAnsi="Arial"/>
        </w:rPr>
        <w:fldChar w:fldCharType="end"/>
      </w:r>
    </w:p>
    <w:p w:rsidR="00395F63" w:rsidRDefault="000666B4">
      <w:pPr>
        <w:pStyle w:val="TOC11"/>
        <w:rPr>
          <w:rFonts w:ascii="Arial" w:hAnsi="Arial"/>
        </w:rPr>
      </w:pPr>
      <w:r>
        <w:rPr>
          <w:rFonts w:ascii="Arial" w:hAnsi="Arial"/>
        </w:rPr>
        <w:t>Zemono in bitka pri Frigidusu</w:t>
      </w:r>
      <w:r>
        <w:rPr>
          <w:rFonts w:ascii="Arial" w:hAnsi="Arial"/>
        </w:rPr>
        <w:tab/>
      </w:r>
      <w:r>
        <w:rPr>
          <w:rFonts w:ascii="Arial" w:hAnsi="Arial"/>
        </w:rPr>
        <w:fldChar w:fldCharType="begin"/>
      </w:r>
      <w:r>
        <w:rPr>
          <w:rFonts w:ascii="Arial" w:hAnsi="Arial"/>
        </w:rPr>
        <w:instrText xml:space="preserve"> PAGEREF _TOC9903 \h </w:instrText>
      </w:r>
      <w:r>
        <w:rPr>
          <w:rFonts w:ascii="Arial" w:hAnsi="Arial"/>
        </w:rPr>
      </w:r>
      <w:r>
        <w:rPr>
          <w:rFonts w:ascii="Arial" w:hAnsi="Arial"/>
        </w:rPr>
        <w:fldChar w:fldCharType="separate"/>
      </w:r>
      <w:r>
        <w:rPr>
          <w:rFonts w:ascii="Arial" w:hAnsi="Arial"/>
        </w:rPr>
        <w:t>12</w:t>
      </w:r>
      <w:r>
        <w:rPr>
          <w:rFonts w:ascii="Arial" w:hAnsi="Arial"/>
        </w:rPr>
        <w:fldChar w:fldCharType="end"/>
      </w:r>
    </w:p>
    <w:p w:rsidR="00395F63" w:rsidRDefault="000666B4">
      <w:pPr>
        <w:pStyle w:val="TOCHeading1"/>
        <w:rPr>
          <w:rFonts w:ascii="Arial" w:hAnsi="Arial"/>
        </w:rPr>
      </w:pPr>
      <w:r>
        <w:rPr>
          <w:rFonts w:ascii="Arial" w:hAnsi="Arial"/>
        </w:rPr>
        <w:t>Maturitetne teme</w:t>
      </w:r>
      <w:r>
        <w:rPr>
          <w:rFonts w:ascii="Arial" w:hAnsi="Arial"/>
        </w:rPr>
        <w:tab/>
      </w:r>
      <w:r>
        <w:rPr>
          <w:rFonts w:ascii="Arial" w:hAnsi="Arial"/>
        </w:rPr>
        <w:fldChar w:fldCharType="begin"/>
      </w:r>
      <w:r>
        <w:rPr>
          <w:rFonts w:ascii="Arial" w:hAnsi="Arial"/>
        </w:rPr>
        <w:instrText xml:space="preserve"> PAGEREF _TOC11807 \h </w:instrText>
      </w:r>
      <w:r>
        <w:rPr>
          <w:rFonts w:ascii="Arial" w:hAnsi="Arial"/>
        </w:rPr>
      </w:r>
      <w:r>
        <w:rPr>
          <w:rFonts w:ascii="Arial" w:hAnsi="Arial"/>
        </w:rPr>
        <w:fldChar w:fldCharType="separate"/>
      </w:r>
      <w:r>
        <w:rPr>
          <w:rFonts w:ascii="Arial" w:hAnsi="Arial"/>
        </w:rPr>
        <w:t>13</w:t>
      </w:r>
      <w:r>
        <w:rPr>
          <w:rFonts w:ascii="Arial" w:hAnsi="Arial"/>
        </w:rPr>
        <w:fldChar w:fldCharType="end"/>
      </w:r>
    </w:p>
    <w:p w:rsidR="00395F63" w:rsidRDefault="000666B4">
      <w:pPr>
        <w:pStyle w:val="TOC11"/>
        <w:rPr>
          <w:rFonts w:ascii="Arial" w:hAnsi="Arial"/>
        </w:rPr>
      </w:pPr>
      <w:r>
        <w:rPr>
          <w:rFonts w:ascii="Arial" w:hAnsi="Arial"/>
        </w:rPr>
        <w:t>Proces kolonizacije</w:t>
      </w:r>
      <w:r>
        <w:rPr>
          <w:rFonts w:ascii="Arial" w:hAnsi="Arial"/>
        </w:rPr>
        <w:tab/>
      </w:r>
      <w:r>
        <w:rPr>
          <w:rFonts w:ascii="Arial" w:hAnsi="Arial"/>
        </w:rPr>
        <w:fldChar w:fldCharType="begin"/>
      </w:r>
      <w:r>
        <w:rPr>
          <w:rFonts w:ascii="Arial" w:hAnsi="Arial"/>
        </w:rPr>
        <w:instrText xml:space="preserve"> PAGEREF _TOC11824 \h </w:instrText>
      </w:r>
      <w:r>
        <w:rPr>
          <w:rFonts w:ascii="Arial" w:hAnsi="Arial"/>
        </w:rPr>
      </w:r>
      <w:r>
        <w:rPr>
          <w:rFonts w:ascii="Arial" w:hAnsi="Arial"/>
        </w:rPr>
        <w:fldChar w:fldCharType="separate"/>
      </w:r>
      <w:r>
        <w:rPr>
          <w:rFonts w:ascii="Arial" w:hAnsi="Arial"/>
        </w:rPr>
        <w:t>13</w:t>
      </w:r>
      <w:r>
        <w:rPr>
          <w:rFonts w:ascii="Arial" w:hAnsi="Arial"/>
        </w:rPr>
        <w:fldChar w:fldCharType="end"/>
      </w:r>
    </w:p>
    <w:p w:rsidR="00395F63" w:rsidRDefault="000666B4">
      <w:pPr>
        <w:pStyle w:val="TOC11"/>
        <w:rPr>
          <w:rFonts w:ascii="Arial" w:hAnsi="Arial"/>
        </w:rPr>
      </w:pPr>
      <w:r>
        <w:rPr>
          <w:rFonts w:ascii="Arial" w:hAnsi="Arial"/>
        </w:rPr>
        <w:t>Pavel Diakon in zahodna slovenska etnična meja</w:t>
      </w:r>
      <w:r>
        <w:rPr>
          <w:rFonts w:ascii="Arial" w:hAnsi="Arial"/>
        </w:rPr>
        <w:tab/>
      </w:r>
      <w:r>
        <w:rPr>
          <w:rFonts w:ascii="Arial" w:hAnsi="Arial"/>
        </w:rPr>
        <w:fldChar w:fldCharType="begin"/>
      </w:r>
      <w:r>
        <w:rPr>
          <w:rFonts w:ascii="Arial" w:hAnsi="Arial"/>
        </w:rPr>
        <w:instrText xml:space="preserve"> PAGEREF _TOC13773 \h </w:instrText>
      </w:r>
      <w:r>
        <w:rPr>
          <w:rFonts w:ascii="Arial" w:hAnsi="Arial"/>
        </w:rPr>
      </w:r>
      <w:r>
        <w:rPr>
          <w:rFonts w:ascii="Arial" w:hAnsi="Arial"/>
        </w:rPr>
        <w:fldChar w:fldCharType="separate"/>
      </w:r>
      <w:r>
        <w:rPr>
          <w:rFonts w:ascii="Arial" w:hAnsi="Arial"/>
        </w:rPr>
        <w:t>14</w:t>
      </w:r>
      <w:r>
        <w:rPr>
          <w:rFonts w:ascii="Arial" w:hAnsi="Arial"/>
        </w:rPr>
        <w:fldChar w:fldCharType="end"/>
      </w:r>
    </w:p>
    <w:p w:rsidR="00395F63" w:rsidRDefault="000666B4">
      <w:pPr>
        <w:pStyle w:val="TOCHeading1"/>
        <w:rPr>
          <w:rFonts w:ascii="Arial" w:hAnsi="Arial"/>
        </w:rPr>
      </w:pPr>
      <w:r>
        <w:rPr>
          <w:rFonts w:ascii="Arial" w:hAnsi="Arial"/>
        </w:rPr>
        <w:t>Zaključek</w:t>
      </w:r>
      <w:r>
        <w:rPr>
          <w:rFonts w:ascii="Arial" w:hAnsi="Arial"/>
        </w:rPr>
        <w:tab/>
      </w:r>
      <w:r>
        <w:rPr>
          <w:rFonts w:ascii="Arial" w:hAnsi="Arial"/>
        </w:rPr>
        <w:fldChar w:fldCharType="begin"/>
      </w:r>
      <w:r>
        <w:rPr>
          <w:rFonts w:ascii="Arial" w:hAnsi="Arial"/>
        </w:rPr>
        <w:instrText xml:space="preserve"> PAGEREF _TOC14502 \h </w:instrText>
      </w:r>
      <w:r>
        <w:rPr>
          <w:rFonts w:ascii="Arial" w:hAnsi="Arial"/>
        </w:rPr>
      </w:r>
      <w:r>
        <w:rPr>
          <w:rFonts w:ascii="Arial" w:hAnsi="Arial"/>
        </w:rPr>
        <w:fldChar w:fldCharType="separate"/>
      </w:r>
      <w:r>
        <w:rPr>
          <w:rFonts w:ascii="Arial" w:hAnsi="Arial"/>
        </w:rPr>
        <w:t>15</w:t>
      </w:r>
      <w:r>
        <w:rPr>
          <w:rFonts w:ascii="Arial" w:hAnsi="Arial"/>
        </w:rPr>
        <w:fldChar w:fldCharType="end"/>
      </w:r>
    </w:p>
    <w:p w:rsidR="00395F63" w:rsidRDefault="000666B4">
      <w:pPr>
        <w:pStyle w:val="TOC11"/>
        <w:rPr>
          <w:rFonts w:ascii="Arial" w:hAnsi="Arial"/>
        </w:rPr>
      </w:pPr>
      <w:r>
        <w:rPr>
          <w:rFonts w:ascii="Arial" w:hAnsi="Arial"/>
        </w:rPr>
        <w:t>Viri</w:t>
      </w:r>
      <w:r>
        <w:rPr>
          <w:rFonts w:ascii="Arial" w:hAnsi="Arial"/>
        </w:rPr>
        <w:tab/>
      </w:r>
      <w:r>
        <w:rPr>
          <w:rFonts w:ascii="Arial" w:hAnsi="Arial"/>
        </w:rPr>
        <w:fldChar w:fldCharType="begin"/>
      </w:r>
      <w:r>
        <w:rPr>
          <w:rFonts w:ascii="Arial" w:hAnsi="Arial"/>
        </w:rPr>
        <w:instrText xml:space="preserve"> PAGEREF _TOC15046 \h </w:instrText>
      </w:r>
      <w:r>
        <w:rPr>
          <w:rFonts w:ascii="Arial" w:hAnsi="Arial"/>
        </w:rPr>
      </w:r>
      <w:r>
        <w:rPr>
          <w:rFonts w:ascii="Arial" w:hAnsi="Arial"/>
        </w:rPr>
        <w:fldChar w:fldCharType="separate"/>
      </w:r>
      <w:r>
        <w:rPr>
          <w:rFonts w:ascii="Arial" w:hAnsi="Arial"/>
        </w:rPr>
        <w:t>15</w:t>
      </w:r>
      <w:r>
        <w:rPr>
          <w:rFonts w:ascii="Arial" w:hAnsi="Arial"/>
        </w:rPr>
        <w:fldChar w:fldCharType="end"/>
      </w:r>
      <w:r>
        <w:rPr>
          <w:rFonts w:ascii="Arial" w:hAnsi="Arial"/>
        </w:rPr>
        <w:fldChar w:fldCharType="end"/>
      </w:r>
    </w:p>
    <w:p w:rsidR="00CE1946" w:rsidRDefault="00CE1946" w:rsidP="00CE1946">
      <w:pPr>
        <w:pStyle w:val="Glavni"/>
        <w:jc w:val="left"/>
      </w:pPr>
      <w:bookmarkStart w:id="1" w:name="_TOC430"/>
      <w:bookmarkEnd w:id="1"/>
    </w:p>
    <w:p w:rsidR="00CE1946" w:rsidRDefault="00CE1946" w:rsidP="00CE1946">
      <w:pPr>
        <w:pStyle w:val="Glavni"/>
        <w:jc w:val="left"/>
      </w:pPr>
    </w:p>
    <w:p w:rsidR="00EE04BC" w:rsidRPr="00EE04BC" w:rsidRDefault="00EE04BC" w:rsidP="00EE04BC">
      <w:pPr>
        <w:pStyle w:val="Body"/>
      </w:pPr>
    </w:p>
    <w:p w:rsidR="00395F63" w:rsidRDefault="000666B4" w:rsidP="00CE1946">
      <w:pPr>
        <w:pStyle w:val="Glavni"/>
        <w:jc w:val="left"/>
      </w:pPr>
      <w:r>
        <w:lastRenderedPageBreak/>
        <w:t>Uvod</w:t>
      </w:r>
    </w:p>
    <w:p w:rsidR="00395F63" w:rsidRDefault="00395F63">
      <w:pPr>
        <w:pStyle w:val="Body"/>
      </w:pPr>
    </w:p>
    <w:p w:rsidR="00395F63" w:rsidRDefault="000666B4">
      <w:pPr>
        <w:pStyle w:val="Body"/>
        <w:jc w:val="both"/>
        <w:sectPr w:rsidR="00395F63">
          <w:headerReference w:type="even" r:id="rId21"/>
          <w:headerReference w:type="default" r:id="rId22"/>
          <w:footerReference w:type="even" r:id="rId23"/>
          <w:footerReference w:type="default" r:id="rId24"/>
          <w:pgSz w:w="11906" w:h="16838"/>
          <w:pgMar w:top="1134" w:right="1134" w:bottom="1134" w:left="1134" w:header="709" w:footer="709" w:gutter="0"/>
          <w:cols w:space="708"/>
        </w:sectPr>
      </w:pPr>
      <w:r>
        <w:rPr>
          <w:rStyle w:val="Emphasis1"/>
        </w:rPr>
        <w:t xml:space="preserve">V soboto, 3.10.2009 ob 7:30, </w:t>
      </w:r>
      <w:r>
        <w:t>smo se izpred gimnazije Poljane odpravili na zgodovinsko ekskurzijo v okviru internega dela mature. Najprej smo se peljali mimo Medvod ter Sorškega polja in se prvič ustavili v Škofji Loki, kjer smo si ogledali muzej na Loškem gradu. Naša pot se je nato vila skozi Poljansko dolino in nato Cerkno, na kratko pa smo ustavili pri Mostu na Soči. Nato smo se skozi Soško dolino peljali do Nove Gorice, kjer smo si vzeli dovolj časa za malico. Skozi Vipavsko dolino smo se odpeljali do Ajdovščine, kjer smo se sprehodili skozi srednjeveško mesto in si ogledali muzej. Zadnjič smo se ustavili pri Zemonu, kjer smo si na hitro ogledali prostor, kjer se je bila bitka pri Vrhpolju. Nazaj v Ljubljano smo prispeli zvečer in tako zaključili ekskurzijo.</w:t>
      </w:r>
    </w:p>
    <w:p w:rsidR="00395F63" w:rsidRDefault="000666B4">
      <w:pPr>
        <w:pStyle w:val="Glavni"/>
        <w:rPr>
          <w:sz w:val="48"/>
        </w:rPr>
      </w:pPr>
      <w:bookmarkStart w:id="2" w:name="_TOC1208"/>
      <w:bookmarkEnd w:id="2"/>
      <w:r>
        <w:rPr>
          <w:sz w:val="48"/>
        </w:rPr>
        <w:lastRenderedPageBreak/>
        <w:t>Rimske ceste na Slovenskem</w:t>
      </w:r>
    </w:p>
    <w:p w:rsidR="00395F63" w:rsidRDefault="000666B4">
      <w:pPr>
        <w:pStyle w:val="Podnaslov"/>
      </w:pPr>
      <w:bookmarkStart w:id="3" w:name="_TOC1235"/>
      <w:bookmarkEnd w:id="3"/>
      <w:r>
        <w:t>Splošno o Rimskih cestah</w:t>
      </w:r>
    </w:p>
    <w:p w:rsidR="00395F63" w:rsidRDefault="000666B4">
      <w:pPr>
        <w:pStyle w:val="Body"/>
        <w:jc w:val="both"/>
      </w:pPr>
      <w:r>
        <w:t>Stari Rim je razvil gradnjo in vzdrževanje cest na visoko raven. Takratne ceste še danes občudujemo, tako glede njihove načrtnosti kakor tudi vešče izgrajenosti. Rimljani so izdelali odlično in načrtno mrežo daljnovodnih cest, delno naslednic prastarih prometnih poti. Največja razsežnost je bila dosežena v 2. stoletju n. št.</w:t>
      </w:r>
    </w:p>
    <w:p w:rsidR="00395F63" w:rsidRDefault="000666B4">
      <w:pPr>
        <w:pStyle w:val="Body"/>
        <w:jc w:val="both"/>
      </w:pPr>
      <w:r>
        <w:t>(slika: rimska cesta v Pompejih)</w:t>
      </w:r>
    </w:p>
    <w:p w:rsidR="00395F63" w:rsidRDefault="000666B4">
      <w:pPr>
        <w:pStyle w:val="Podnaslov"/>
      </w:pPr>
      <w:bookmarkStart w:id="4" w:name="_TOC1621"/>
      <w:bookmarkEnd w:id="4"/>
      <w:r>
        <w:t>Ohranjenost</w:t>
      </w:r>
      <w:r w:rsidR="00F40F12">
        <w:rPr>
          <w:noProof/>
        </w:rPr>
        <w:pict>
          <v:shape id="_x0000_s1042" style="position:absolute;margin-left:0;margin-top:-6pt;width:160pt;height:130pt;z-index:251655680;mso-wrap-distance-left:12pt;mso-wrap-distance-top:12pt;mso-wrap-distance-right:12pt;mso-wrap-distance-bottom:12pt;mso-position-horizontal:left;mso-position-horizontal-relative:text;mso-position-vertical:absolute;mso-position-vertical-relative:line" coordsize="21600,21600" o:spt="100" wrapcoords="0 0 21600 0 21600 21600 0 21600 0 0" adj="0,,0" path="" strokecolor="none" strokeweight="0">
            <v:stroke dashstyle="1 1" opacity="0" joinstyle="round"/>
            <v:imagedata r:id="rId25" o:title=""/>
            <v:shadow on="t" color="black" opacity=".5" offset=".49892mm,.49892mm"/>
            <v:formulas/>
            <v:path o:connecttype="segments"/>
            <w10:wrap type="through" side="right" anchorx="page" anchory="page"/>
          </v:shape>
        </w:pict>
      </w:r>
    </w:p>
    <w:p w:rsidR="00395F63" w:rsidRDefault="000666B4">
      <w:pPr>
        <w:pStyle w:val="Body"/>
        <w:jc w:val="both"/>
      </w:pPr>
      <w:r>
        <w:t xml:space="preserve">O rimskih cestnih povezavah izvemo v antičnih zemljevidih, od grških in rimskih geografov ter zgodovinarjev, iz epigrafskih spomenikov, miljnikov in arheološko ugotovljenih cestah ter naselbinah. </w:t>
      </w:r>
    </w:p>
    <w:p w:rsidR="00395F63" w:rsidRDefault="00F40F12">
      <w:pPr>
        <w:pStyle w:val="Body"/>
        <w:jc w:val="both"/>
      </w:pPr>
      <w:hyperlink r:id="rId26" w:history="1">
        <w:r w:rsidR="000666B4">
          <w:t>Rimljanom</w:t>
        </w:r>
      </w:hyperlink>
      <w:r w:rsidR="000666B4">
        <w:t xml:space="preserve"> so bili vzorniki pri gradnji cest </w:t>
      </w:r>
      <w:hyperlink r:id="rId27" w:history="1">
        <w:r w:rsidR="000666B4">
          <w:t>Etruščani</w:t>
        </w:r>
      </w:hyperlink>
      <w:r w:rsidR="000666B4">
        <w:t xml:space="preserve"> in </w:t>
      </w:r>
      <w:hyperlink r:id="rId28" w:history="1">
        <w:r w:rsidR="000666B4">
          <w:t>Latini</w:t>
        </w:r>
      </w:hyperlink>
      <w:r w:rsidR="000666B4">
        <w:t xml:space="preserve">, ki so že spretno gradili umetne ceste, ki so jih že takrat uporabljali za vse vrste namenov. </w:t>
      </w:r>
    </w:p>
    <w:p w:rsidR="00395F63" w:rsidRDefault="000666B4">
      <w:pPr>
        <w:pStyle w:val="Body"/>
        <w:jc w:val="both"/>
      </w:pPr>
      <w:r>
        <w:t xml:space="preserve">Rimljani so postavljali ceste čim bolj naravnost, gradili so jih prek močvirij in visokih prelazov, prek voda in jih celo vsekovali v živo skalo. </w:t>
      </w:r>
    </w:p>
    <w:p w:rsidR="00395F63" w:rsidRDefault="000666B4">
      <w:pPr>
        <w:pStyle w:val="Body"/>
        <w:jc w:val="both"/>
      </w:pPr>
      <w:r>
        <w:t>(slika: rimska cesta v Britaniji)</w:t>
      </w:r>
    </w:p>
    <w:p w:rsidR="00395F63" w:rsidRDefault="000666B4">
      <w:pPr>
        <w:pStyle w:val="Podnaslov"/>
      </w:pPr>
      <w:bookmarkStart w:id="5" w:name="_TOC2171"/>
      <w:bookmarkEnd w:id="5"/>
      <w:r>
        <w:t>Zgradba</w:t>
      </w:r>
      <w:r w:rsidR="00F40F12">
        <w:rPr>
          <w:noProof/>
        </w:rPr>
        <w:pict>
          <v:shape id="_x0000_s1043" style="position:absolute;margin-left:235.55pt;margin-top:-5.05pt;width:124pt;height:166pt;rotation:-359;z-index:251656704;mso-wrap-distance-left:12pt;mso-wrap-distance-top:12pt;mso-wrap-distance-right:12pt;mso-wrap-distance-bottom:12pt;mso-position-horizontal:right;mso-position-horizontal-relative:text;mso-position-vertical:absolute;mso-position-vertical-relative:line" coordsize="21600,21600" o:spt="100" wrapcoords="-262 98 21338 -195 21731 21405 131 21698 -262 98" adj="0,,0" path="" strokecolor="none" strokeweight="0">
            <v:stroke dashstyle="1 1" opacity="0" joinstyle="round"/>
            <v:imagedata r:id="rId29" o:title=""/>
            <v:shadow on="t" color="black" opacity=".5" offset=".49892mm,.49892mm"/>
            <v:formulas/>
            <v:path o:connecttype="segments"/>
            <w10:wrap type="through" side="left" anchorx="page" anchory="page"/>
          </v:shape>
        </w:pict>
      </w:r>
    </w:p>
    <w:p w:rsidR="00395F63" w:rsidRDefault="00F40F12">
      <w:pPr>
        <w:pStyle w:val="Body"/>
        <w:jc w:val="both"/>
        <w:sectPr w:rsidR="00395F63">
          <w:headerReference w:type="even" r:id="rId30"/>
          <w:headerReference w:type="default" r:id="rId31"/>
          <w:footerReference w:type="even" r:id="rId32"/>
          <w:footerReference w:type="default" r:id="rId33"/>
          <w:pgSz w:w="11906" w:h="16838"/>
          <w:pgMar w:top="1134" w:right="1134" w:bottom="1134" w:left="1134" w:header="709" w:footer="709" w:gutter="0"/>
          <w:cols w:space="708"/>
        </w:sectPr>
      </w:pPr>
      <w:hyperlink r:id="rId34" w:history="1">
        <w:r w:rsidR="000666B4">
          <w:t>Rimske ceste</w:t>
        </w:r>
      </w:hyperlink>
      <w:r w:rsidR="000666B4">
        <w:t xml:space="preserve"> so imele kot spodnjo plast globoke cestne temelje iz drobljenega </w:t>
      </w:r>
      <w:hyperlink r:id="rId35" w:history="1">
        <w:r w:rsidR="000666B4">
          <w:t>kamna</w:t>
        </w:r>
      </w:hyperlink>
      <w:r w:rsidR="000666B4">
        <w:t xml:space="preserve">. Tako so ceste ostale suhe, saj je voda odtekla iz drobljenca. Na bolj uporabljenih poteh so bile še dodatne plasti, ki so vsebovale šest stranske tlakovce, ki so zmanjšali dviganje prahu ter </w:t>
      </w:r>
      <w:hyperlink r:id="rId36" w:history="1">
        <w:r w:rsidR="000666B4">
          <w:t>trenje</w:t>
        </w:r>
      </w:hyperlink>
      <w:r w:rsidR="000666B4">
        <w:t xml:space="preserve"> </w:t>
      </w:r>
      <w:hyperlink r:id="rId37" w:history="1">
        <w:r w:rsidR="000666B4">
          <w:t>koles</w:t>
        </w:r>
      </w:hyperlink>
      <w:r w:rsidR="000666B4">
        <w:t xml:space="preserve">. Tlakovci so omogočili rimskim </w:t>
      </w:r>
      <w:hyperlink r:id="rId38" w:history="1">
        <w:r w:rsidR="000666B4">
          <w:t>vozovom</w:t>
        </w:r>
      </w:hyperlink>
      <w:r w:rsidR="000666B4">
        <w:t xml:space="preserve"> zelo hitro potovanje, kar je zagotavljalo dobre povezave z rimskimi </w:t>
      </w:r>
      <w:hyperlink r:id="rId39" w:history="1">
        <w:r w:rsidR="000666B4">
          <w:t>provincami</w:t>
        </w:r>
      </w:hyperlink>
      <w:r w:rsidR="000666B4">
        <w:t>. (slika: zgradba rimske ceste)</w:t>
      </w:r>
    </w:p>
    <w:p w:rsidR="00395F63" w:rsidRDefault="000666B4">
      <w:pPr>
        <w:pStyle w:val="Body"/>
        <w:jc w:val="both"/>
      </w:pPr>
      <w:r>
        <w:lastRenderedPageBreak/>
        <w:t>Ob državnih cestah so postavljali miljnike z informacijami o oddaljenosti posameznih odsekov ceste in o upravnih središčih, ki so bila zadolžena za njihovo vzdrževanje. Poleg glavnih cest pa so gradili tudi manjše, vaške ali vicinalne poti. Večje obcestne postaje so imele poleg pošte in gostilne (s hlevi za konje) tudi kopališče in skladišča.</w:t>
      </w:r>
    </w:p>
    <w:p w:rsidR="00395F63" w:rsidRDefault="000666B4">
      <w:pPr>
        <w:pStyle w:val="Body"/>
        <w:jc w:val="both"/>
      </w:pPr>
      <w:r>
        <w:t>Rimska cesta je bila torej približno 1 m debela, vendar pa so tako močno utrjevali le glavne, iti</w:t>
      </w:r>
      <w:r w:rsidR="00F40F12">
        <w:rPr>
          <w:noProof/>
        </w:rPr>
        <w:pict>
          <v:shape id="_x0000_s1044" style="position:absolute;left:0;text-align:left;margin-left:47.2pt;margin-top:256.75pt;width:484pt;height:382pt;rotation:-1;z-index:251657728;mso-wrap-distance-left:12pt;mso-wrap-distance-top:12pt;mso-wrap-distance-right:12pt;mso-wrap-distance-bottom:12pt;mso-position-horizontal:absolute;mso-position-horizontal-relative:page;mso-position-vertical:absolute;mso-position-vertical-relative:page" coordsize="21600,21600" o:spt="100" adj="0,,0" path="" strokecolor="none" strokeweight=".00275mm">
            <v:stroke dashstyle="1 1" opacity="0" joinstyle="round"/>
            <v:imagedata r:id="rId40" o:title=""/>
            <v:shadow on="t" color="black" opacity=".5" offset=".49892mm,.49892mm"/>
            <v:formulas/>
            <v:path o:connecttype="segments"/>
            <w10:wrap type="topAndBottom" anchorx="page" anchory="page"/>
          </v:shape>
        </w:pict>
      </w:r>
      <w:r>
        <w:t xml:space="preserve">nerarske ceste. Ena izmed teh državnih cest - "Viae publicae" je bila glavna komunikacija Slovenije : Aquileia - Emona - Celeia - Poetoviona - Sirmium. (slika rimske ceste na Slovenskem) </w:t>
      </w:r>
    </w:p>
    <w:p w:rsidR="00395F63" w:rsidRDefault="000666B4">
      <w:pPr>
        <w:pStyle w:val="Body"/>
        <w:jc w:val="both"/>
      </w:pPr>
      <w:r>
        <w:t>"Via publica" je uradna oznaka in označuje cesto, ki jo je preko provincialne administracije v normalnih razmerah dala zgraditi in opremiti centralna "cura viarum" za armado in državni aparat (poseben državni aparat, ki je skrbel za vzdrževanje cest) .</w:t>
      </w:r>
    </w:p>
    <w:p w:rsidR="00395F63" w:rsidRDefault="00395F63">
      <w:pPr>
        <w:pStyle w:val="Body"/>
      </w:pPr>
    </w:p>
    <w:p w:rsidR="00395F63" w:rsidRDefault="00395F63">
      <w:pPr>
        <w:pStyle w:val="Body"/>
      </w:pPr>
    </w:p>
    <w:p w:rsidR="00395F63" w:rsidRDefault="000666B4">
      <w:pPr>
        <w:pStyle w:val="Podnaslov"/>
      </w:pPr>
      <w:bookmarkStart w:id="6" w:name="_TOC3502"/>
      <w:bookmarkEnd w:id="6"/>
      <w:r>
        <w:t>Rimske ceste na Slovenskem</w:t>
      </w:r>
    </w:p>
    <w:p w:rsidR="00395F63" w:rsidRDefault="00395F63">
      <w:pPr>
        <w:pStyle w:val="Body"/>
      </w:pPr>
    </w:p>
    <w:p w:rsidR="00395F63" w:rsidRDefault="000666B4">
      <w:pPr>
        <w:pStyle w:val="Body"/>
        <w:jc w:val="both"/>
      </w:pPr>
      <w:r>
        <w:t>Prej omenjena cesta (Aquileia - Emona - Celeia - Poetoviona - Sirmium )je bila zgrajena leta 181 pred našim štetjem, postala pa je glavna gospodarska in strateška odskočnica za vsa nadaljnja rimska osvajanja v notranjost predalpskega prostora (trgovanje s keltskimi plemeni, dragoceno želez</w:t>
      </w:r>
      <w:r w:rsidR="00F40F12">
        <w:rPr>
          <w:noProof/>
        </w:rPr>
        <w:pict>
          <v:group id="_x0000_s1045" style="position:absolute;left:0;text-align:left;margin-left:105pt;margin-top:313pt;width:384pt;height:363pt;z-index:251658752;mso-wrap-distance-left:12pt;mso-wrap-distance-top:12pt;mso-wrap-distance-right:12pt;mso-wrap-distance-bottom:12pt;mso-position-horizontal-relative:page;mso-position-vertical-relative:page" coordsize="7680,7260" wrapcoords="-42 0 -42 21555 21600 21555 21600 0 -42 0">
            <v:shape id="_x0000_s1046" style="position:absolute;left:160;top:120;width:7350;height:6818" coordsize="21600,21600" o:spt="100" adj="0,,0" path="" strokeweight="1pt">
              <v:stroke joinstyle="round"/>
              <v:imagedata r:id="rId41" o:title=""/>
              <v:formulas/>
              <v:path o:connecttype="segments"/>
            </v:shape>
            <v:shape id="_x0000_s1047" style="position:absolute;width:7680;height:7260" coordsize="21600,21600" o:spt="100" adj="0,,0" path="" strokeweight="1pt">
              <v:stroke joinstyle="round"/>
              <v:imagedata r:id="rId42" o:title=""/>
              <v:formulas/>
              <v:path o:connecttype="segments"/>
            </v:shape>
            <w10:wrap type="through" anchorx="page" anchory="page"/>
          </v:group>
        </w:pict>
      </w:r>
      <w:r>
        <w:t>o- ferrum Noricum).</w:t>
      </w:r>
    </w:p>
    <w:p w:rsidR="00395F63" w:rsidRDefault="000666B4">
      <w:pPr>
        <w:pStyle w:val="Body"/>
        <w:jc w:val="both"/>
      </w:pPr>
      <w:r>
        <w:t>Ta cesta Akvileja - Emona naj bi imela po nekaterih dokazih tudi obvozno ali dvojno traso: Ajdovščina - Šturje - Vipava - Gradišče pri Vipavi  - Razdrto - Hrenovice - Postojna - Planina - Laze - Dolenji Logatec. Verjetno je poimenovana "Via Gemina" prav zaradi te obvozne ceste. (slika: Oglej)</w:t>
      </w:r>
    </w:p>
    <w:p w:rsidR="00395F63" w:rsidRDefault="00395F63">
      <w:pPr>
        <w:pStyle w:val="Heading11"/>
        <w:spacing w:after="280"/>
        <w:jc w:val="center"/>
        <w:rPr>
          <w:rFonts w:ascii="American Typewriter" w:hAnsi="American Typewriter"/>
          <w:b w:val="0"/>
          <w:color w:val="9A1822"/>
          <w:sz w:val="72"/>
        </w:rPr>
      </w:pPr>
    </w:p>
    <w:p w:rsidR="00395F63" w:rsidRDefault="00395F63">
      <w:pPr>
        <w:pStyle w:val="Heading11"/>
        <w:spacing w:after="280"/>
        <w:jc w:val="center"/>
        <w:rPr>
          <w:rFonts w:ascii="American Typewriter" w:hAnsi="American Typewriter"/>
          <w:b w:val="0"/>
          <w:color w:val="9A1822"/>
          <w:sz w:val="72"/>
        </w:rPr>
      </w:pPr>
    </w:p>
    <w:p w:rsidR="00395F63" w:rsidRDefault="00395F63">
      <w:pPr>
        <w:pStyle w:val="Heading11"/>
        <w:spacing w:after="280"/>
        <w:jc w:val="center"/>
        <w:rPr>
          <w:rFonts w:ascii="American Typewriter" w:hAnsi="American Typewriter"/>
          <w:b w:val="0"/>
          <w:color w:val="9A1822"/>
          <w:sz w:val="72"/>
        </w:rPr>
      </w:pPr>
    </w:p>
    <w:p w:rsidR="00395F63" w:rsidRDefault="00395F63">
      <w:pPr>
        <w:pStyle w:val="Heading11"/>
        <w:spacing w:after="280"/>
        <w:jc w:val="center"/>
        <w:rPr>
          <w:rFonts w:ascii="American Typewriter" w:hAnsi="American Typewriter"/>
          <w:b w:val="0"/>
          <w:color w:val="9A1822"/>
          <w:sz w:val="72"/>
        </w:rPr>
      </w:pPr>
    </w:p>
    <w:p w:rsidR="00395F63" w:rsidRDefault="00395F63">
      <w:pPr>
        <w:pStyle w:val="Heading11"/>
        <w:spacing w:after="280"/>
        <w:jc w:val="center"/>
        <w:rPr>
          <w:rFonts w:ascii="American Typewriter" w:hAnsi="American Typewriter"/>
          <w:b w:val="0"/>
          <w:color w:val="9A1822"/>
          <w:sz w:val="72"/>
        </w:rPr>
        <w:sectPr w:rsidR="00395F63">
          <w:headerReference w:type="even" r:id="rId43"/>
          <w:headerReference w:type="default" r:id="rId44"/>
          <w:footerReference w:type="even" r:id="rId45"/>
          <w:footerReference w:type="default" r:id="rId46"/>
          <w:pgSz w:w="11906" w:h="16838"/>
          <w:pgMar w:top="1134" w:right="1134" w:bottom="1134" w:left="1134" w:header="709" w:footer="709" w:gutter="0"/>
          <w:cols w:space="708"/>
        </w:sectPr>
      </w:pPr>
    </w:p>
    <w:p w:rsidR="00395F63" w:rsidRDefault="000666B4">
      <w:pPr>
        <w:pStyle w:val="Heading11"/>
        <w:spacing w:after="280"/>
        <w:jc w:val="center"/>
        <w:rPr>
          <w:rFonts w:ascii="American Typewriter" w:hAnsi="American Typewriter"/>
          <w:b w:val="0"/>
          <w:color w:val="9A1822"/>
          <w:sz w:val="72"/>
        </w:rPr>
      </w:pPr>
      <w:bookmarkStart w:id="7" w:name="_TOC4138"/>
      <w:bookmarkEnd w:id="7"/>
      <w:r>
        <w:rPr>
          <w:rFonts w:ascii="American Typewriter" w:hAnsi="American Typewriter"/>
          <w:b w:val="0"/>
          <w:color w:val="9A1822"/>
          <w:sz w:val="72"/>
        </w:rPr>
        <w:t>Potek ekskurzije</w:t>
      </w:r>
    </w:p>
    <w:p w:rsidR="00395F63" w:rsidRDefault="000666B4">
      <w:pPr>
        <w:pStyle w:val="Podnaslov"/>
      </w:pPr>
      <w:bookmarkStart w:id="8" w:name="_TOC4155"/>
      <w:bookmarkEnd w:id="8"/>
      <w:r>
        <w:t>Škofja Loka</w:t>
      </w:r>
    </w:p>
    <w:p w:rsidR="00395F63" w:rsidRDefault="000666B4">
      <w:pPr>
        <w:pStyle w:val="Body"/>
        <w:jc w:val="both"/>
      </w:pPr>
      <w:r>
        <w:t xml:space="preserve">Naš prvi postanek je bil v Škofji Loki. Zgodovina tega srednjeveškega mesta se je pričela leta 973, ko je tedanji cesar Oton II daroval loško ozemlje škofu Abrahamu iz Freisinga na Bavarskem. Leta 1274 je vila Škofja Loka prvič omenjena kot mesto. Za večjo varnost pa so mesto v 14. stoletju obdali z obzidjem, ki je imelo pet vrat in je </w:t>
      </w:r>
      <w:r w:rsidR="00F40F12">
        <w:rPr>
          <w:noProof/>
        </w:rPr>
        <w:pict>
          <v:shape id="_x0000_s1048" style="position:absolute;left:0;text-align:left;margin-left:56.2pt;margin-top:145.75pt;width:484pt;height:382pt;rotation:-1;z-index:251659776;mso-wrap-distance-left:12pt;mso-wrap-distance-top:12pt;mso-wrap-distance-right:12pt;mso-wrap-distance-bottom:12pt;mso-position-horizontal:absolute;mso-position-horizontal-relative:page;mso-position-vertical:absolute;mso-position-vertical-relative:page" coordsize="21600,21600" o:spt="100" adj="0,,0" path="" strokecolor="none" strokeweight=".00275mm">
            <v:stroke dashstyle="1 1" opacity="0" joinstyle="round"/>
            <v:imagedata r:id="rId47" o:title=""/>
            <v:shadow on="t" color="black" opacity=".5" offset=".49892mm,.49892mm"/>
            <v:formulas/>
            <v:path o:connecttype="segments"/>
            <w10:wrap type="topAndBottom" anchorx="page" anchory="page"/>
          </v:shape>
        </w:pict>
      </w:r>
      <w:r>
        <w:t>bilo zavarovano s stražnimi stolpi. To obzidje je dobro ohranjeno še danes (slika).</w:t>
      </w:r>
    </w:p>
    <w:p w:rsidR="00395F63" w:rsidRDefault="000666B4">
      <w:pPr>
        <w:pStyle w:val="Body"/>
        <w:jc w:val="both"/>
      </w:pPr>
      <w:r>
        <w:t>Mesto so skozi zgodovino pestili tako naravne katastrofe, kot so požari in potresi, pa tudi napadi in kuga. Najmočnejši potres je mesto stresel v 16. stoletju, kar je mesto hudo prizadelo. Mesto pa so kmalu za tem obnovili in takšno podobo lahko skoraj nespremenjeno vidimo še danes.</w:t>
      </w:r>
    </w:p>
    <w:p w:rsidR="00395F63" w:rsidRDefault="000666B4">
      <w:pPr>
        <w:pStyle w:val="Body"/>
        <w:jc w:val="both"/>
      </w:pPr>
      <w:r>
        <w:t xml:space="preserve">Kraj na sotočju obeh Sor je bil naravno izjemno primeren za trgovanje. Mimo mesta je vodila tudi stara tovorna pot iz Ljubljanske kotline in naprej v Furlanijo. Vodna moč obeh Sor je omogočala številne obrti: mlinarstvo, žagarstvo, usnjarstvo in kovaštvo. V okolici Škofje Loke se je dobro razvilo tudi fužinarstvo, zaradi bližine nahajališč železove rude. Zlasti v okolici Železnikov se je ohranilo veliko število plavžev. Slednja obrt se je prvič pojavila že za časa Keltov, pred približno 500 leti pred našim štetjem. Prvotna nahajališča rude so bila v Bohinjskem kotlu, na Dolenjskem in na Koroškem. Noriško železo je slovelo že pred rimskimi časi, zaradi katerega (med drugim) je tudi nastala cesta Aquileia - Emona, kot sem omenil že prej. Po razpadu cesarstva pa je rudarjenje zamrlo. </w:t>
      </w:r>
    </w:p>
    <w:p w:rsidR="00395F63" w:rsidRDefault="00395F63">
      <w:pPr>
        <w:pStyle w:val="Body"/>
        <w:jc w:val="both"/>
      </w:pPr>
    </w:p>
    <w:p w:rsidR="00395F63" w:rsidRDefault="000666B4">
      <w:pPr>
        <w:pStyle w:val="Body"/>
        <w:jc w:val="both"/>
      </w:pPr>
      <w:r>
        <w:t>Ker pa so imeli obrtniki resno konkurenco, so se že v srednjem veku začeli povezovati v cehe. V muzeju je zbrana dediščina kovaškega, usnjarskega, krojaškega, lončarskega, pekovskega in mesarskega ceha. V cehu so bila točno določena pravila in napredovanja. Najprej si začel kot vajenec, nato po uspešno opravljenem izpitu, kot pomočnik, in na koncu še mojster. Cehovski mojstri so si sčasoma nabrali veliko bogastvo, kar je že kazalo v smer kapitalizma.</w:t>
      </w:r>
    </w:p>
    <w:p w:rsidR="00395F63" w:rsidRDefault="00395F63">
      <w:pPr>
        <w:pStyle w:val="Body"/>
        <w:jc w:val="both"/>
      </w:pPr>
    </w:p>
    <w:p w:rsidR="00395F63" w:rsidRDefault="000666B4">
      <w:pPr>
        <w:pStyle w:val="Body"/>
        <w:jc w:val="both"/>
      </w:pPr>
      <w:r>
        <w:t>V muzeju je na ogled še mnogo drugih stvari, kot so izdelki domače obrti, umetnostna dela ter tudi zbran življenjepis in nekatera dela Ivana Tavčarja.</w:t>
      </w:r>
    </w:p>
    <w:p w:rsidR="00395F63" w:rsidRDefault="00395F63">
      <w:pPr>
        <w:pStyle w:val="Body"/>
      </w:pPr>
    </w:p>
    <w:p w:rsidR="00395F63" w:rsidRDefault="00395F63">
      <w:pPr>
        <w:pStyle w:val="Body"/>
      </w:pPr>
    </w:p>
    <w:p w:rsidR="00395F63" w:rsidRDefault="00395F63">
      <w:pPr>
        <w:pStyle w:val="Body"/>
      </w:pPr>
    </w:p>
    <w:p w:rsidR="00395F63" w:rsidRDefault="00395F63">
      <w:pPr>
        <w:pStyle w:val="Body"/>
      </w:pPr>
    </w:p>
    <w:p w:rsidR="00395F63" w:rsidRDefault="000666B4">
      <w:pPr>
        <w:pStyle w:val="Podnaslov"/>
      </w:pPr>
      <w:bookmarkStart w:id="9" w:name="_TOC6278"/>
      <w:bookmarkEnd w:id="9"/>
      <w:r>
        <w:t>Most na Soči</w:t>
      </w:r>
    </w:p>
    <w:p w:rsidR="00395F63" w:rsidRDefault="000666B4">
      <w:pPr>
        <w:pStyle w:val="Body"/>
        <w:jc w:val="both"/>
      </w:pPr>
      <w:r>
        <w:t xml:space="preserve">Po Poljanski dolini smo skozi Cerkno prišli v Most na Soči, kjer smo naredili krajši postanek za malico. Prispeli smo v bližino slovenske meje z Italijo in s tem tudi v bližino konca slovenskega etničnega ozemlja. </w:t>
      </w:r>
    </w:p>
    <w:p w:rsidR="00395F63" w:rsidRDefault="000666B4">
      <w:pPr>
        <w:pStyle w:val="Podnaslov"/>
      </w:pPr>
      <w:bookmarkStart w:id="10" w:name="_TOC6507"/>
      <w:bookmarkEnd w:id="10"/>
      <w:r>
        <w:t>Solkan</w:t>
      </w:r>
      <w:r w:rsidR="00F40F12">
        <w:rPr>
          <w:noProof/>
        </w:rPr>
        <w:pict>
          <v:shape id="_x0000_s1052" style="position:absolute;margin-left:0;margin-top:-6pt;width:160pt;height:130pt;z-index:251660800;mso-wrap-distance-left:12pt;mso-wrap-distance-top:12pt;mso-wrap-distance-right:12pt;mso-wrap-distance-bottom:12pt;mso-position-horizontal:left;mso-position-horizontal-relative:text;mso-position-vertical:absolute;mso-position-vertical-relative:line" coordsize="21600,21600" o:spt="100" wrapcoords="0 0 21600 0 21600 21600 0 21600 0 0" adj="0,,0" path="" strokecolor="none" strokeweight=".00275mm">
            <v:stroke dashstyle="1 1" opacity="0" joinstyle="round"/>
            <v:imagedata r:id="rId48" o:title=""/>
            <v:shadow on="t" color="black" opacity=".5" offset=".49892mm,.49892mm"/>
            <v:formulas/>
            <v:path o:connecttype="segments"/>
            <w10:wrap type="through" side="right" anchorx="page" anchory="page"/>
          </v:shape>
        </w:pict>
      </w:r>
    </w:p>
    <w:p w:rsidR="00395F63" w:rsidRDefault="000666B4">
      <w:pPr>
        <w:pStyle w:val="Body"/>
        <w:jc w:val="both"/>
      </w:pPr>
      <w:r>
        <w:t xml:space="preserve">Po krajšem postanku v Mostu na Soči smo se odpravili proti Solkanu. Tik pred prihodom v to naselje se odpre čudovit pogled na solkanski most, nad reko </w:t>
      </w:r>
      <w:hyperlink r:id="rId49" w:history="1">
        <w:r>
          <w:t>Sočo</w:t>
        </w:r>
      </w:hyperlink>
      <w:r>
        <w:t xml:space="preserve"> z največjim lokom iz obdelanega kamna na svetu. Zaradi </w:t>
      </w:r>
      <w:hyperlink r:id="rId50" w:history="1">
        <w:r>
          <w:t>85</w:t>
        </w:r>
      </w:hyperlink>
      <w:r>
        <w:t xml:space="preserve"> </w:t>
      </w:r>
      <w:hyperlink r:id="rId51" w:history="1">
        <w:r>
          <w:t>metrov</w:t>
        </w:r>
      </w:hyperlink>
      <w:r>
        <w:t xml:space="preserve"> odprtega kamnitega loka, je Solkanski most največji med železniškimi mostovi na svetu in za nemškim cestnim kamnitim mostom preko doline Syratal v Plauenu drugi kamniti most sploh na svetu po dolžini odprtine kamnitega loka.</w:t>
      </w:r>
    </w:p>
    <w:p w:rsidR="00395F63" w:rsidRDefault="000666B4">
      <w:pPr>
        <w:pStyle w:val="Body"/>
        <w:jc w:val="both"/>
      </w:pPr>
      <w:r>
        <w:t>V velikem krožnem loku je vgrajenih kar 4533 kamnitih blokov iz školjčnega apnenca. Le tega so pripeljali iz kamnoloma pri Nabrežini.</w:t>
      </w:r>
    </w:p>
    <w:p w:rsidR="00395F63" w:rsidRDefault="00F40F12">
      <w:pPr>
        <w:pStyle w:val="Body"/>
        <w:jc w:val="both"/>
      </w:pPr>
      <w:r>
        <w:rPr>
          <w:noProof/>
        </w:rPr>
        <w:pict>
          <v:shape id="_x0000_s1053" style="position:absolute;left:0;text-align:left;margin-left:235.55pt;margin-top:-5.05pt;width:124pt;height:166pt;rotation:-359;z-index:251661824;mso-wrap-distance-left:12pt;mso-wrap-distance-top:12pt;mso-wrap-distance-right:12pt;mso-wrap-distance-bottom:12pt;mso-position-horizontal:right;mso-position-horizontal-relative:text;mso-position-vertical:absolute;mso-position-vertical-relative:line" coordsize="21600,21600" o:spt="100" wrapcoords="-262 98 21338 -195 21731 21405 131 21698 -262 98" adj="0,,0" path="" strokecolor="none" strokeweight=".00275mm">
            <v:stroke dashstyle="1 1" opacity="0" joinstyle="round"/>
            <v:imagedata r:id="rId52" o:title=""/>
            <v:shadow on="t" color="black" opacity=".5" offset=".49892mm,.49892mm"/>
            <v:formulas/>
            <v:path o:connecttype="segments"/>
            <w10:wrap type="through" side="left" anchorx="page" anchory="page"/>
          </v:shape>
        </w:pict>
      </w:r>
    </w:p>
    <w:p w:rsidR="00395F63" w:rsidRDefault="000666B4">
      <w:pPr>
        <w:pStyle w:val="Body"/>
        <w:jc w:val="both"/>
      </w:pPr>
      <w:r>
        <w:t xml:space="preserve">Solkanski most  je bil v času Soške fronte v prvi svetovni vojni v bojih za Gorico avgusta 1916 močno poškodovan. Razstreljen je bil cel glavni lok mostu. Leta 1918 so postavili začasno jekleno konstrukcijo, ki je do leta 1927 omogočala promet čez most. Tega leta so italijanske državne železnice, ki so takrat upravljale z mostom, zaključile z obnovo loka v rezanem kamnu. </w:t>
      </w:r>
    </w:p>
    <w:p w:rsidR="00395F63" w:rsidRDefault="000666B4">
      <w:pPr>
        <w:pStyle w:val="Body"/>
        <w:jc w:val="both"/>
        <w:sectPr w:rsidR="00395F63">
          <w:headerReference w:type="even" r:id="rId53"/>
          <w:headerReference w:type="default" r:id="rId54"/>
          <w:footerReference w:type="even" r:id="rId55"/>
          <w:footerReference w:type="default" r:id="rId56"/>
          <w:pgSz w:w="11906" w:h="16838"/>
          <w:pgMar w:top="1134" w:right="1134" w:bottom="1134" w:left="1134" w:header="709" w:footer="709" w:gutter="0"/>
          <w:cols w:space="708"/>
        </w:sectPr>
      </w:pPr>
      <w:r>
        <w:t>Solkanskemu mostu pa ni bilo prizanešeno niti v drugi svetovni vojni, saj ga je oplazila zavezniška bomba in ga nevarno poškodovala. To poškodbo so nemški inženirci popravili v nekaj dneh, dokončno pa je bil most obnovljen leta 1954.</w:t>
      </w:r>
    </w:p>
    <w:p w:rsidR="00395F63" w:rsidRDefault="000666B4">
      <w:pPr>
        <w:pStyle w:val="Podnaslov"/>
      </w:pPr>
      <w:bookmarkStart w:id="11" w:name="_TOC7705"/>
      <w:bookmarkEnd w:id="11"/>
      <w:r>
        <w:t>Nova Gorica</w:t>
      </w:r>
    </w:p>
    <w:p w:rsidR="00395F63" w:rsidRDefault="000666B4">
      <w:pPr>
        <w:pStyle w:val="Body"/>
        <w:jc w:val="both"/>
      </w:pPr>
      <w:r>
        <w:t>Kmalu potem, ko je bilo znano, da Gorica ne bo pripadala Jugoslaviji, se je porodila zamisel za gradnjo Nove Gorice.</w:t>
      </w:r>
    </w:p>
    <w:p w:rsidR="00395F63" w:rsidRDefault="000666B4">
      <w:pPr>
        <w:pStyle w:val="Body"/>
        <w:jc w:val="both"/>
      </w:pPr>
      <w:r>
        <w:t xml:space="preserve">Pobudo za gradnjo novega središča severne Primorske je dal politbiro CK KPJ,  ki naj bi nadomestilo od slovenskega ozemlja odtrgano Gorico. Sklep, da se prične graditi Novo Gorico, je v Ljubljano prinesel Miha Marinko, tedanji predsednik vlade LRS. Za gradnjo pa je zadolžil ministra </w:t>
      </w:r>
      <w:r w:rsidR="00F40F12">
        <w:rPr>
          <w:noProof/>
        </w:rPr>
        <w:pict>
          <v:shape id="_x0000_s1054" style="position:absolute;left:0;text-align:left;margin-left:56.2pt;margin-top:132.75pt;width:484pt;height:382pt;rotation:-1;z-index:251662848;mso-wrap-distance-left:12pt;mso-wrap-distance-top:12pt;mso-wrap-distance-right:12pt;mso-wrap-distance-bottom:12pt;mso-position-horizontal:absolute;mso-position-horizontal-relative:page;mso-position-vertical:absolute;mso-position-vertical-relative:page" coordsize="21600,21600" o:spt="100" adj="0,,0" path="" strokecolor="none" strokeweight=".00275mm">
            <v:stroke dashstyle="1 1" opacity="0" joinstyle="round"/>
            <v:imagedata r:id="rId57" o:title=""/>
            <v:shadow on="t" color="black" opacity=".5" offset=".49892mm,.49892mm"/>
            <v:formulas/>
            <v:path o:connecttype="segments"/>
            <w10:wrap type="topAndBottom" anchorx="page" anchory="page"/>
          </v:shape>
        </w:pict>
      </w:r>
      <w:r>
        <w:t>za gradnje Ivana Mačka. Prvi urbanistični načrti za gradnjo mesta so nastali leta 1947, že istega leta pa so prišli tudi prvi delavci.</w:t>
      </w:r>
    </w:p>
    <w:p w:rsidR="00395F63" w:rsidRDefault="000666B4">
      <w:pPr>
        <w:pStyle w:val="Body"/>
        <w:jc w:val="both"/>
      </w:pPr>
      <w:r>
        <w:t xml:space="preserve">Do leta 1950 je bilo zgrajenih 5 stanovanjskih blokov. Urbanizem mesta je v veliki meri zasnoval arhitekt Ravnikar. Mesto se je začelo intenzivneje razvijati v 60. in 70. letih. Kmalu je začelo delovati dramsko gledališče, začel pa se je razvijati tudi turizem in igralništvo. </w:t>
      </w:r>
    </w:p>
    <w:p w:rsidR="00395F63" w:rsidRDefault="00395F63">
      <w:pPr>
        <w:pStyle w:val="Body"/>
        <w:jc w:val="both"/>
      </w:pPr>
    </w:p>
    <w:p w:rsidR="00395F63" w:rsidRDefault="000666B4">
      <w:pPr>
        <w:pStyle w:val="Body"/>
        <w:jc w:val="both"/>
      </w:pPr>
      <w:r>
        <w:t>Nova Gorica je ležala na samem robu železne zavese, zato je bila vseskozi prisotna napetost. Meja je bila dokončno potrjena šele z Osimskimi sporazumi, leta 1975. Takrat se je začelo postopno odpiranje meje. Prebivalci z jugoslovanske strani so množično hodili preko mejnega prehoda Rožna dolina in se vračali z izdelki, ki so se na drugi strani zavese dobili ceneje (npr. kava).</w:t>
      </w:r>
    </w:p>
    <w:p w:rsidR="00395F63" w:rsidRDefault="000666B4">
      <w:pPr>
        <w:pStyle w:val="Body"/>
        <w:jc w:val="both"/>
      </w:pPr>
      <w:r>
        <w:t xml:space="preserve">Ko pa je leta 1989 železna zavesa padla, se je meja skoraj dokončno odprla. Carina je sicer še bila, vendar dosti manj stroga. Dokončna odprava meje pa </w:t>
      </w:r>
      <w:r w:rsidR="00F40F12">
        <w:rPr>
          <w:noProof/>
        </w:rPr>
        <w:pict>
          <v:group id="_x0000_s1055" style="position:absolute;left:0;text-align:left;margin-left:85pt;margin-top:435pt;width:425pt;height:329pt;z-index:251663872;mso-wrap-distance-left:12pt;mso-wrap-distance-top:12pt;mso-wrap-distance-right:12pt;mso-wrap-distance-bottom:12pt;mso-position-horizontal-relative:page;mso-position-vertical-relative:page" coordsize="8500,6580" wrapcoords="-38 0 -38 21551 21600 21551 21600 0 -38 0">
            <v:shape id="_x0000_s1056" style="position:absolute;left:160;top:120;width:8174;height:6131" coordsize="21600,21600" o:spt="100" adj="0,,0" path="" strokeweight="1pt">
              <v:stroke joinstyle="round"/>
              <v:imagedata r:id="rId9" o:title=""/>
              <v:formulas/>
              <v:path o:connecttype="segments"/>
            </v:shape>
            <v:shape id="_x0000_s1057" style="position:absolute;width:8500;height:6580" coordsize="21600,21600" o:spt="100" adj="0,,0" path="" strokeweight="1pt">
              <v:stroke joinstyle="round"/>
              <v:imagedata r:id="rId58" o:title=""/>
              <v:formulas/>
              <v:path o:connecttype="segments"/>
            </v:shape>
            <w10:wrap type="through" anchorx="page" anchory="page"/>
          </v:group>
        </w:pict>
      </w:r>
      <w:r>
        <w:t>je bila leta 2004, z vstopom Slovenije v Evropsko Unijo.</w:t>
      </w:r>
    </w:p>
    <w:p w:rsidR="00395F63" w:rsidRDefault="000666B4">
      <w:pPr>
        <w:pStyle w:val="Podnaslov"/>
      </w:pPr>
      <w:bookmarkStart w:id="12" w:name="_TOC9120"/>
      <w:bookmarkEnd w:id="12"/>
      <w:r>
        <w:t>Ajdovščina</w:t>
      </w:r>
    </w:p>
    <w:p w:rsidR="00395F63" w:rsidRDefault="000666B4">
      <w:pPr>
        <w:pStyle w:val="Body"/>
        <w:jc w:val="both"/>
      </w:pPr>
      <w:r>
        <w:t xml:space="preserve">Iz Nove Gorice smo se odpeljali proti Ajdovščini. Mesto leži ob reki Hubelj, ob kateri se je razvila zelo močna industrija. Na območju sedanjega mesta so odkrili ostanke rimske naselbine oziroma postojanke Castre. To je bil nekakšen tabor, saj je bil obkrožen s  stolpi, okopom in obzidjem, v latinščini pa castra pomeni tabor. </w:t>
      </w:r>
    </w:p>
    <w:p w:rsidR="00395F63" w:rsidRDefault="000666B4">
      <w:pPr>
        <w:pStyle w:val="Body"/>
        <w:jc w:val="both"/>
      </w:pPr>
      <w:r>
        <w:t>Ta postojanka je imela na začetku pomembno vlogo pri obrambi pred Germani. Po razpadu rimskega cesarstva na vzhodno in zahodno, pa je po njej potekala meja med njima. Tu smo si na hitro ogledali tudi muzej, ki je vseboval podroben opis razvoja tega mesta. Tako iz prazgodovine kot iz časov pod rimsko oblastjo. V Ajdovščini je bila leta 1945 ustanovljena prva slovenska narodna vlada, kar je bil pomemben korak za slovensko državo in narod.</w:t>
      </w:r>
    </w:p>
    <w:p w:rsidR="00395F63" w:rsidRDefault="000666B4">
      <w:pPr>
        <w:pStyle w:val="Body"/>
      </w:pPr>
      <w:r>
        <w:t xml:space="preserve"> </w:t>
      </w:r>
    </w:p>
    <w:p w:rsidR="00395F63" w:rsidRDefault="000666B4">
      <w:pPr>
        <w:pStyle w:val="Podnaslov"/>
      </w:pPr>
      <w:bookmarkStart w:id="13" w:name="_TOC9903"/>
      <w:bookmarkEnd w:id="13"/>
      <w:r>
        <w:t>Zemono in bitka pri Frigidusu</w:t>
      </w:r>
    </w:p>
    <w:p w:rsidR="00395F63" w:rsidRDefault="00395F63">
      <w:pPr>
        <w:pStyle w:val="Body"/>
      </w:pPr>
    </w:p>
    <w:p w:rsidR="00395F63" w:rsidRDefault="000666B4">
      <w:pPr>
        <w:pStyle w:val="Body"/>
        <w:jc w:val="both"/>
      </w:pPr>
      <w:r>
        <w:t>Po obisku Ajdovščine smo se odpravili do slikovitega dvorca Zemono. Dvor je bil last vipavskih grofov Lanthierijev iz leta 1689. V bližini  dvorca je vas Vrhpolje, kjer so tamkajšnji prebivalci leta 1994 v spomin na 1600-letnico bitke postavili velik križ.</w:t>
      </w:r>
    </w:p>
    <w:p w:rsidR="00395F63" w:rsidRDefault="00395F63">
      <w:pPr>
        <w:pStyle w:val="Body"/>
        <w:jc w:val="both"/>
      </w:pPr>
    </w:p>
    <w:p w:rsidR="00395F63" w:rsidRDefault="000666B4">
      <w:pPr>
        <w:pStyle w:val="Body"/>
        <w:jc w:val="both"/>
      </w:pPr>
      <w:r>
        <w:t xml:space="preserve">Ker so imeli za tisti čas kristjani “zelo napreden” način razmišljanja, so kmalu naleteli na močan odpor pri uradni rimski oblasti, ki je še vedno častila poganske bogove. Stvar, ki je rimske cesarje najbolj motila, je bila ta, da je božansko vlogo cesarja zamenjal Jezus Kristus. Še sam Julij Cezar je trdil, da je potomec boginje Venere. Cesarji so se bali, da bo ta nova vera spodkopala enotnost rimskega cesarstva. Mnogo kristjanov so dali pobiti (“kristjane levom”), dokler ni cesar Konstantin leta 313, ki naj bi bil sam spreobrnjen, z milanskim ediktom dal kristjanom enakopravnost v veri. </w:t>
      </w:r>
    </w:p>
    <w:p w:rsidR="00395F63" w:rsidRDefault="00395F63">
      <w:pPr>
        <w:pStyle w:val="Body"/>
        <w:jc w:val="both"/>
      </w:pPr>
    </w:p>
    <w:p w:rsidR="00395F63" w:rsidRDefault="000666B4">
      <w:pPr>
        <w:pStyle w:val="Body"/>
        <w:jc w:val="both"/>
      </w:pPr>
      <w:r>
        <w:t>Kmalu zatem pa so Rim pretresale državljanske vojne, ki so imele mnogokrat tudi versko ozadje. Tako je 5. in 6. septembra 394 potekal spopad med vojskama cesarja Teodozija in proticesarja Evgenija. To je bil tudi eden najpomembnejših mejnikov v zgodovini rimskega cesarstva, saj je bila s to bitko poganska stran dokončno poražena. To je bila tudi edina zelo pomembna bitka, ki se je bila na današnjem slovenskem ozemlju. Z zmago Teodozija je bilo konec državljanke vojne ter še zadnja združitev vzhodnega in zahodnega cesarstva za krajši čas.</w:t>
      </w:r>
    </w:p>
    <w:p w:rsidR="00395F63" w:rsidRDefault="00395F63">
      <w:pPr>
        <w:pStyle w:val="Body"/>
        <w:jc w:val="both"/>
      </w:pPr>
    </w:p>
    <w:p w:rsidR="00395F63" w:rsidRDefault="00395F63">
      <w:pPr>
        <w:pStyle w:val="Body"/>
        <w:jc w:val="both"/>
      </w:pPr>
    </w:p>
    <w:p w:rsidR="00395F63" w:rsidRDefault="00395F63">
      <w:pPr>
        <w:pStyle w:val="Body"/>
        <w:jc w:val="both"/>
      </w:pPr>
    </w:p>
    <w:p w:rsidR="00395F63" w:rsidRDefault="000666B4">
      <w:pPr>
        <w:pStyle w:val="Body"/>
        <w:jc w:val="both"/>
      </w:pPr>
      <w:r>
        <w:t>Potek bitke</w:t>
      </w:r>
    </w:p>
    <w:p w:rsidR="00395F63" w:rsidRDefault="00395F63">
      <w:pPr>
        <w:pStyle w:val="Body"/>
        <w:jc w:val="both"/>
      </w:pPr>
    </w:p>
    <w:p w:rsidR="00395F63" w:rsidRDefault="000666B4">
      <w:pPr>
        <w:pStyle w:val="Body"/>
        <w:jc w:val="both"/>
      </w:pPr>
      <w:r>
        <w:t xml:space="preserve">Cesar Teodozij je imel vojsko, ki je štela okrog 100.000 mož in se je čez Hrušico odpravil proti Vipavski dolini. Na začetku same bitke je šla zmaga v roke poganov, saj so uspešno preprečili Teodozijevim četam v dolino. Na noč odločilne bitke pa je v prid Teodoziju pihala močna burja, in puščice njegovih sovražnikov obrnila proti njim samim.Napad se je spremenil v popoln polom frankovske vojske. Evgenij je bil med bitko ujet in na mestu obglavljen. </w:t>
      </w:r>
    </w:p>
    <w:p w:rsidR="00395F63" w:rsidRDefault="00395F63">
      <w:pPr>
        <w:pStyle w:val="Body"/>
      </w:pPr>
    </w:p>
    <w:p w:rsidR="00395F63" w:rsidRDefault="00395F63">
      <w:pPr>
        <w:pStyle w:val="Body"/>
      </w:pPr>
    </w:p>
    <w:p w:rsidR="00395F63" w:rsidRDefault="000666B4">
      <w:pPr>
        <w:pStyle w:val="Glavni"/>
      </w:pPr>
      <w:bookmarkStart w:id="14" w:name="_TOC11807"/>
      <w:bookmarkEnd w:id="14"/>
      <w:r>
        <w:t>Maturitetne teme</w:t>
      </w:r>
    </w:p>
    <w:p w:rsidR="00395F63" w:rsidRDefault="000666B4">
      <w:pPr>
        <w:pStyle w:val="Podnaslov"/>
      </w:pPr>
      <w:bookmarkStart w:id="15" w:name="_TOC11824"/>
      <w:bookmarkEnd w:id="15"/>
      <w:r>
        <w:t>Proces kolonizacije</w:t>
      </w:r>
    </w:p>
    <w:p w:rsidR="00395F63" w:rsidRDefault="00395F63">
      <w:pPr>
        <w:pStyle w:val="Body"/>
      </w:pPr>
    </w:p>
    <w:p w:rsidR="00395F63" w:rsidRDefault="000666B4">
      <w:pPr>
        <w:pStyle w:val="Body"/>
        <w:jc w:val="both"/>
      </w:pPr>
      <w:r>
        <w:t>V srednjem veku je podobo slovenskih dežel najbolj spreminjal proces kolonizacije, saj je naseljevanje novih priseljencev vplivalo na gostoto naseljenosti, na oblike naselij, na načine obdelovalne zemlje in tudi na način življenja ljudi. Kolonisti so vplivali na kulturo, na način obdelovanje zemlje, način življenja ljudi in kulturo ter jezik. Kolonizacija je kot zgodovinski proces vplivala tudi na družbeno premoženje in strukturo ljudi.</w:t>
      </w:r>
    </w:p>
    <w:p w:rsidR="00395F63" w:rsidRDefault="00395F63">
      <w:pPr>
        <w:pStyle w:val="Body"/>
        <w:jc w:val="both"/>
      </w:pPr>
    </w:p>
    <w:p w:rsidR="00395F63" w:rsidRDefault="000666B4">
      <w:pPr>
        <w:pStyle w:val="Body"/>
        <w:jc w:val="both"/>
      </w:pPr>
      <w:r>
        <w:t>Ločimo več tipov kolonizacije. Včasih je bilo naseljevanje neorganizirano (ljudje so se naseljevali iz lastnih nagibov), včasih načrtno (plemstvo je zaradi pomanjkanja delovne sile kmete preselilo v oddaljene kraje). Bila je notranja, če se je naseljevalo domače prebivalstvo, ali zunanja, če so se naseljevali ljudje iz tujih dežel.</w:t>
      </w:r>
    </w:p>
    <w:p w:rsidR="00395F63" w:rsidRDefault="00395F63">
      <w:pPr>
        <w:pStyle w:val="Body"/>
        <w:jc w:val="both"/>
      </w:pPr>
    </w:p>
    <w:p w:rsidR="00395F63" w:rsidRDefault="000666B4">
      <w:pPr>
        <w:pStyle w:val="Body"/>
        <w:jc w:val="both"/>
      </w:pPr>
      <w:r>
        <w:t>Na slovenskem ločimo štiri faze kolonizacije. Starejša kolonizacija je potekala od 6. do 9. stoletja. Naselitev je zajela predvsem ozemlje, ki je bilo naseljeno že v antiki in primerno za obdelovanje. Nastajala so gručastega naselja. Notranja in zunanja kolonizacija pa je potekala od 13. do 19. stoletja. Napredek v poljedelski tehniki je omogočil boljši pridelek, kar je omogočilo tudi povečanje prebivalstva. Srednjeveška kolonizacija je v slovenskih deželah v tem času dosegla vrhunec. Poleg domačih kolonistov se je večalo tudi število priseljencev iz nemških dežel. Te so pripeljali novi nemški zemljiški gospodje s svojih posestev. S tem pa se je začela tudi germanizacija. V času od 13. do 15. stoletja pa se je na Slovenskem pojavila tudi višinska kolonizacija. Ker so bile naravno ugodne površine za obdelovanje zemlje že poseljene (kolonizirane), so se selitveni tokovi usmerili v višje ležeče predele. Naselja so nastajala okoli 1000 m nad morjem, manjše zaselke in samotne kmetije so naseljenci postavljali na gozdnih posekah. Najintenzivnejša je bila kolonizacije na Pohorju, Kobanskem, v Mežiški dolini in nekaterih predelih Gorenjske.</w:t>
      </w:r>
    </w:p>
    <w:p w:rsidR="00395F63" w:rsidRDefault="000666B4">
      <w:pPr>
        <w:pStyle w:val="Podnaslov"/>
      </w:pPr>
      <w:bookmarkStart w:id="16" w:name="_TOC13773"/>
      <w:bookmarkEnd w:id="16"/>
      <w:r>
        <w:t>Pavel Diakon in zahodna slovenska etnična meja</w:t>
      </w:r>
    </w:p>
    <w:p w:rsidR="00395F63" w:rsidRDefault="00395F63">
      <w:pPr>
        <w:pStyle w:val="Body"/>
      </w:pPr>
    </w:p>
    <w:p w:rsidR="00395F63" w:rsidRDefault="000666B4">
      <w:pPr>
        <w:pStyle w:val="Body"/>
        <w:jc w:val="both"/>
      </w:pPr>
      <w:r>
        <w:t xml:space="preserve">Langobardski zgodovinar Pavel Diakon je v svoje opise vključil naselitev Slovanov in njihove boje z langobardi. Po poreklu so bili Langobardi Germani in so prvotno živeli v Skandinaviji, od koder so se začeli premikati proti jugu.Diakon je deloval v 8. stoletju, njegovi opisi pa vsekakor niso objektivni. </w:t>
      </w:r>
    </w:p>
    <w:p w:rsidR="00395F63" w:rsidRDefault="00395F63">
      <w:pPr>
        <w:pStyle w:val="Body"/>
        <w:jc w:val="both"/>
      </w:pPr>
    </w:p>
    <w:p w:rsidR="00395F63" w:rsidRDefault="000666B4">
      <w:pPr>
        <w:pStyle w:val="Body"/>
        <w:jc w:val="both"/>
      </w:pPr>
      <w:r>
        <w:t xml:space="preserve">Slovani so se v tistem času naselili v Furlaniji vse do nižine po črti Karmin- Pušja Vas- Tržič. Tako je do današnjih dni etnična meja tudi ostala. Mnogo tega etničnega ozemlja pa ni vključenega v slovensko državno ozemlje, saj državna meja poteka drugje. Zunaj slovenskega državnega ozemlja so ostali na primer Trst, Gorica, Beneška Slovenija in Kanalska dolina. </w:t>
      </w:r>
    </w:p>
    <w:p w:rsidR="00395F63" w:rsidRDefault="00395F63">
      <w:pPr>
        <w:pStyle w:val="Body"/>
      </w:pPr>
    </w:p>
    <w:p w:rsidR="00395F63" w:rsidRDefault="00395F63">
      <w:pPr>
        <w:pStyle w:val="Body"/>
      </w:pPr>
    </w:p>
    <w:p w:rsidR="00395F63" w:rsidRDefault="00395F63">
      <w:pPr>
        <w:pStyle w:val="Body"/>
      </w:pPr>
    </w:p>
    <w:p w:rsidR="00395F63" w:rsidRDefault="00395F63">
      <w:pPr>
        <w:pStyle w:val="Body"/>
      </w:pPr>
    </w:p>
    <w:p w:rsidR="00395F63" w:rsidRDefault="00395F63">
      <w:pPr>
        <w:pStyle w:val="Body"/>
      </w:pPr>
    </w:p>
    <w:p w:rsidR="00395F63" w:rsidRDefault="00395F63">
      <w:pPr>
        <w:pStyle w:val="Body"/>
      </w:pPr>
    </w:p>
    <w:p w:rsidR="00395F63" w:rsidRDefault="00395F63">
      <w:pPr>
        <w:pStyle w:val="Body"/>
      </w:pPr>
    </w:p>
    <w:p w:rsidR="00395F63" w:rsidRDefault="00395F63">
      <w:pPr>
        <w:pStyle w:val="Body"/>
      </w:pPr>
    </w:p>
    <w:p w:rsidR="00395F63" w:rsidRDefault="000666B4">
      <w:pPr>
        <w:pStyle w:val="Glavni"/>
      </w:pPr>
      <w:bookmarkStart w:id="17" w:name="_TOC14502"/>
      <w:bookmarkEnd w:id="17"/>
      <w:r>
        <w:t>Zaključek</w:t>
      </w:r>
    </w:p>
    <w:p w:rsidR="00395F63" w:rsidRDefault="000666B4">
      <w:pPr>
        <w:pStyle w:val="Body"/>
        <w:jc w:val="both"/>
      </w:pPr>
      <w:r>
        <w:t>Na začetku te seminarske naloge sem obdelal temo Rimske ceste. Opisal sem njihovo sestavo in pomen, ki so ga imele v rimskem času. Brez dobrih prometnih povezav bi Rimljani težko upravljali s tako velikim cesarstvom.</w:t>
      </w:r>
    </w:p>
    <w:p w:rsidR="00395F63" w:rsidRDefault="00395F63">
      <w:pPr>
        <w:pStyle w:val="Body"/>
        <w:jc w:val="both"/>
      </w:pPr>
    </w:p>
    <w:p w:rsidR="00395F63" w:rsidRDefault="000666B4">
      <w:pPr>
        <w:pStyle w:val="Body"/>
        <w:jc w:val="both"/>
      </w:pPr>
      <w:r>
        <w:t>Nato sem opisal pot naše ekskurzije, ki je večinoma vodila po trasah bivših rimskih mest. Ogledali smo si kar nekaj krajev, ki so imeli v prejšnjih stoletjih pomembno vlogo na slovenskem. Menim, da je spoznavanje zgodovine na terenu zelo pomembno, da si ustvarimo predstavo, ki jo drugače poznamo samo iz učbenikov.</w:t>
      </w:r>
    </w:p>
    <w:p w:rsidR="00395F63" w:rsidRDefault="000666B4">
      <w:pPr>
        <w:pStyle w:val="Podnaslov"/>
      </w:pPr>
      <w:bookmarkStart w:id="18" w:name="_TOC15046"/>
      <w:bookmarkEnd w:id="18"/>
      <w:r>
        <w:t>Viri</w:t>
      </w:r>
    </w:p>
    <w:p w:rsidR="00395F63" w:rsidRDefault="000666B4">
      <w:pPr>
        <w:pStyle w:val="Body"/>
        <w:numPr>
          <w:ilvl w:val="0"/>
          <w:numId w:val="1"/>
        </w:numPr>
      </w:pPr>
      <w:r>
        <w:t>Sodobna zgodovina - Božo Repe</w:t>
      </w:r>
    </w:p>
    <w:p w:rsidR="00395F63" w:rsidRDefault="000666B4">
      <w:pPr>
        <w:pStyle w:val="Body"/>
        <w:numPr>
          <w:ilvl w:val="0"/>
          <w:numId w:val="1"/>
        </w:numPr>
      </w:pPr>
      <w:r>
        <w:t>Zgodovina 1 - Učbenik za 1. letnik gimnazije</w:t>
      </w:r>
    </w:p>
    <w:p w:rsidR="00395F63" w:rsidRDefault="000666B4">
      <w:pPr>
        <w:pStyle w:val="Body"/>
        <w:numPr>
          <w:ilvl w:val="0"/>
          <w:numId w:val="1"/>
        </w:numPr>
      </w:pPr>
      <w:r>
        <w:t>Internet</w:t>
      </w:r>
      <w:bookmarkStart w:id="19" w:name="end1"/>
      <w:bookmarkEnd w:id="19"/>
    </w:p>
    <w:sectPr w:rsidR="00395F63">
      <w:headerReference w:type="even" r:id="rId59"/>
      <w:headerReference w:type="default" r:id="rId60"/>
      <w:footerReference w:type="even" r:id="rId61"/>
      <w:footerReference w:type="default" r:id="rId62"/>
      <w:pgSz w:w="11906" w:h="16838"/>
      <w:pgMar w:top="1134"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300B" w:rsidRDefault="0069300B">
      <w:pPr>
        <w:spacing w:after="0" w:line="240" w:lineRule="auto"/>
      </w:pPr>
      <w:r>
        <w:separator/>
      </w:r>
    </w:p>
  </w:endnote>
  <w:endnote w:type="continuationSeparator" w:id="0">
    <w:p w:rsidR="0069300B" w:rsidRDefault="00693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ヒラギノ角ゴ Pro W3">
    <w:altName w:val="Cambria"/>
    <w:charset w:val="00"/>
    <w:family w:val="roman"/>
    <w:pitch w:val="default"/>
  </w:font>
  <w:font w:name="Helvetica">
    <w:panose1 w:val="020B0604020202020204"/>
    <w:charset w:val="00"/>
    <w:family w:val="swiss"/>
    <w:pitch w:val="variable"/>
    <w:sig w:usb0="00000003" w:usb1="00000000" w:usb2="00000000" w:usb3="00000000" w:csb0="00000001" w:csb1="00000000"/>
  </w:font>
  <w:font w:name="American Typewriter">
    <w:altName w:val="Courier New"/>
    <w:charset w:val="00"/>
    <w:family w:val="roman"/>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0666B4">
    <w:pPr>
      <w:pStyle w:val="HeaderFooter"/>
    </w:pPr>
    <w:r>
      <w:t>Jon Premik, 4.A, Gimnazija Poljane</w:t>
    </w:r>
    <w:r>
      <w:tab/>
    </w:r>
    <w:r>
      <w:tab/>
      <w:t xml:space="preserve">Seminarska naloga za zgodovino </w:t>
    </w:r>
  </w:p>
  <w:p w:rsidR="00395F63" w:rsidRDefault="000666B4">
    <w:pPr>
      <w:pStyle w:val="HeaderFooter"/>
      <w:jc w:val="right"/>
      <w:rPr>
        <w:rFonts w:ascii="Times New Roman" w:eastAsia="Times New Roman" w:hAnsi="Times New Roman"/>
        <w:b w:val="0"/>
        <w:color w:val="auto"/>
        <w:sz w:val="20"/>
        <w:lang w:bidi="x-none"/>
      </w:rPr>
    </w:pPr>
    <w:r>
      <w:rPr>
        <w:color w:val="000000"/>
      </w:rPr>
      <w:t xml:space="preserve">Stran </w:t>
    </w: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0666B4">
    <w:pPr>
      <w:pStyle w:val="HeaderFooter"/>
      <w:jc w:val="right"/>
      <w:rPr>
        <w:rFonts w:ascii="Times New Roman" w:eastAsia="Times New Roman" w:hAnsi="Times New Roman"/>
        <w:b w:val="0"/>
        <w:color w:val="auto"/>
        <w:sz w:val="20"/>
        <w:lang w:bidi="x-none"/>
      </w:rPr>
    </w:pPr>
    <w:r>
      <w:rPr>
        <w:color w:val="000000"/>
      </w:rPr>
      <w:t xml:space="preserve">Stran </w:t>
    </w: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0666B4">
    <w:pPr>
      <w:pStyle w:val="HeaderFooter"/>
      <w:jc w:val="right"/>
      <w:rPr>
        <w:rFonts w:ascii="Times New Roman" w:eastAsia="Times New Roman" w:hAnsi="Times New Roman"/>
        <w:b w:val="0"/>
        <w:color w:val="auto"/>
        <w:sz w:val="20"/>
        <w:lang w:bidi="x-none"/>
      </w:rPr>
    </w:pPr>
    <w:r>
      <w:rPr>
        <w:color w:val="000000"/>
      </w:rPr>
      <w:t xml:space="preserve">Stran </w:t>
    </w: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0666B4">
    <w:pPr>
      <w:pStyle w:val="HeaderFooter"/>
      <w:jc w:val="right"/>
      <w:rPr>
        <w:rFonts w:ascii="Times New Roman" w:eastAsia="Times New Roman" w:hAnsi="Times New Roman"/>
        <w:b w:val="0"/>
        <w:color w:val="auto"/>
        <w:sz w:val="20"/>
        <w:lang w:bidi="x-none"/>
      </w:rPr>
    </w:pPr>
    <w:r>
      <w:rPr>
        <w:color w:val="000000"/>
      </w:rPr>
      <w:t xml:space="preserve">Stran </w:t>
    </w: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0666B4">
    <w:pPr>
      <w:pStyle w:val="HeaderFooter"/>
      <w:jc w:val="right"/>
      <w:rPr>
        <w:rFonts w:ascii="Times New Roman" w:eastAsia="Times New Roman" w:hAnsi="Times New Roman"/>
        <w:b w:val="0"/>
        <w:color w:val="auto"/>
        <w:sz w:val="20"/>
        <w:lang w:bidi="x-none"/>
      </w:rPr>
    </w:pPr>
    <w:r>
      <w:rPr>
        <w:color w:val="000000"/>
      </w:rPr>
      <w:t xml:space="preserve">Stran </w:t>
    </w: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0666B4">
    <w:pPr>
      <w:pStyle w:val="HeaderFooter"/>
      <w:jc w:val="right"/>
      <w:rPr>
        <w:rFonts w:ascii="Times New Roman" w:eastAsia="Times New Roman" w:hAnsi="Times New Roman"/>
        <w:b w:val="0"/>
        <w:color w:val="auto"/>
        <w:sz w:val="20"/>
        <w:lang w:bidi="x-none"/>
      </w:rPr>
    </w:pPr>
    <w:r>
      <w:rPr>
        <w:color w:val="000000"/>
      </w:rPr>
      <w:t xml:space="preserve">Stran </w:t>
    </w: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E64" w:rsidRDefault="00BE5E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0666B4">
    <w:pPr>
      <w:pStyle w:val="HeaderFooter"/>
      <w:jc w:val="right"/>
      <w:rPr>
        <w:rFonts w:ascii="Times New Roman" w:eastAsia="Times New Roman" w:hAnsi="Times New Roman"/>
        <w:b w:val="0"/>
        <w:color w:val="auto"/>
        <w:sz w:val="20"/>
        <w:lang w:bidi="x-none"/>
      </w:rPr>
    </w:pPr>
    <w:r>
      <w:rPr>
        <w:color w:val="000000"/>
      </w:rPr>
      <w:t xml:space="preserve">Stran </w:t>
    </w: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0666B4">
    <w:pPr>
      <w:pStyle w:val="HeaderFooter"/>
      <w:jc w:val="right"/>
      <w:rPr>
        <w:rFonts w:ascii="Times New Roman" w:eastAsia="Times New Roman" w:hAnsi="Times New Roman"/>
        <w:b w:val="0"/>
        <w:color w:val="auto"/>
        <w:sz w:val="20"/>
        <w:lang w:bidi="x-none"/>
      </w:rPr>
    </w:pPr>
    <w:r>
      <w:rPr>
        <w:color w:val="000000"/>
      </w:rPr>
      <w:t xml:space="preserve">Stran </w:t>
    </w: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0666B4">
    <w:pPr>
      <w:pStyle w:val="HeaderFooter"/>
      <w:jc w:val="right"/>
      <w:rPr>
        <w:rFonts w:ascii="Times New Roman" w:eastAsia="Times New Roman" w:hAnsi="Times New Roman"/>
        <w:b w:val="0"/>
        <w:color w:val="auto"/>
        <w:sz w:val="20"/>
        <w:lang w:bidi="x-none"/>
      </w:rPr>
    </w:pPr>
    <w:r>
      <w:rPr>
        <w:color w:val="000000"/>
      </w:rPr>
      <w:t xml:space="preserve">Stran </w:t>
    </w: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0666B4">
    <w:pPr>
      <w:pStyle w:val="HeaderFooter"/>
    </w:pPr>
    <w:r>
      <w:t>Jon Premik, 4.A, Gimnazija Poljane</w:t>
    </w:r>
    <w:r>
      <w:tab/>
    </w:r>
    <w:r>
      <w:tab/>
      <w:t xml:space="preserve">Seminarska naloga za zgodovino </w:t>
    </w:r>
  </w:p>
  <w:p w:rsidR="00395F63" w:rsidRDefault="000666B4">
    <w:pPr>
      <w:pStyle w:val="HeaderFooter"/>
      <w:jc w:val="right"/>
      <w:rPr>
        <w:rFonts w:ascii="Times New Roman" w:eastAsia="Times New Roman" w:hAnsi="Times New Roman"/>
        <w:b w:val="0"/>
        <w:color w:val="auto"/>
        <w:sz w:val="20"/>
        <w:lang w:bidi="x-none"/>
      </w:rPr>
    </w:pPr>
    <w:r>
      <w:rPr>
        <w:color w:val="000000"/>
      </w:rPr>
      <w:t xml:space="preserve">Stran </w:t>
    </w: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0666B4">
    <w:pPr>
      <w:pStyle w:val="HeaderFooter"/>
      <w:jc w:val="right"/>
      <w:rPr>
        <w:rFonts w:ascii="Times New Roman" w:eastAsia="Times New Roman" w:hAnsi="Times New Roman"/>
        <w:b w:val="0"/>
        <w:color w:val="auto"/>
        <w:sz w:val="20"/>
        <w:lang w:bidi="x-none"/>
      </w:rPr>
    </w:pPr>
    <w:r>
      <w:rPr>
        <w:color w:val="000000"/>
      </w:rPr>
      <w:t xml:space="preserve">Stran </w:t>
    </w: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0666B4">
    <w:pPr>
      <w:pStyle w:val="HeaderFooter"/>
      <w:jc w:val="right"/>
      <w:rPr>
        <w:rFonts w:ascii="Times New Roman" w:eastAsia="Times New Roman" w:hAnsi="Times New Roman"/>
        <w:b w:val="0"/>
        <w:color w:val="auto"/>
        <w:sz w:val="20"/>
        <w:lang w:bidi="x-none"/>
      </w:rPr>
    </w:pPr>
    <w:r>
      <w:rPr>
        <w:color w:val="000000"/>
      </w:rPr>
      <w:t xml:space="preserve">Stran </w:t>
    </w: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300B" w:rsidRDefault="0069300B">
      <w:pPr>
        <w:spacing w:after="0" w:line="240" w:lineRule="auto"/>
      </w:pPr>
      <w:r>
        <w:separator/>
      </w:r>
    </w:p>
  </w:footnote>
  <w:footnote w:type="continuationSeparator" w:id="0">
    <w:p w:rsidR="0069300B" w:rsidRDefault="00693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E64" w:rsidRDefault="00BE5E6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395F63">
    <w:pPr>
      <w:pStyle w:val="FreeForm"/>
      <w:rPr>
        <w:rFonts w:ascii="Times New Roman" w:eastAsia="Times New Roman" w:hAnsi="Times New Roman"/>
        <w:color w:val="auto"/>
        <w:sz w:val="20"/>
        <w:lang w:bidi="x-non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395F63">
    <w:pPr>
      <w:pStyle w:val="FreeForm"/>
      <w:rPr>
        <w:rFonts w:ascii="Times New Roman" w:eastAsia="Times New Roman" w:hAnsi="Times New Roman"/>
        <w:color w:val="auto"/>
        <w:sz w:val="20"/>
        <w:lang w:bidi="x-non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395F63">
    <w:pPr>
      <w:pStyle w:val="FreeForm"/>
      <w:rPr>
        <w:rFonts w:ascii="Times New Roman" w:eastAsia="Times New Roman" w:hAnsi="Times New Roman"/>
        <w:color w:val="auto"/>
        <w:sz w:val="20"/>
        <w:lang w:bidi="x-non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395F63">
    <w:pPr>
      <w:pStyle w:val="FreeForm"/>
      <w:rPr>
        <w:rFonts w:ascii="Times New Roman" w:eastAsia="Times New Roman" w:hAnsi="Times New Roman"/>
        <w:color w:val="auto"/>
        <w:sz w:val="20"/>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E64" w:rsidRDefault="00BE5E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E64" w:rsidRDefault="00BE5E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395F63">
    <w:pPr>
      <w:pStyle w:val="FreeForm"/>
      <w:rPr>
        <w:rFonts w:ascii="Times New Roman" w:eastAsia="Times New Roman" w:hAnsi="Times New Roman"/>
        <w:color w:val="auto"/>
        <w:sz w:val="20"/>
        <w:lang w:bidi="x-non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395F63">
    <w:pPr>
      <w:pStyle w:val="FreeForm"/>
      <w:rPr>
        <w:rFonts w:ascii="Times New Roman" w:eastAsia="Times New Roman" w:hAnsi="Times New Roman"/>
        <w:color w:val="auto"/>
        <w:sz w:val="20"/>
        <w:lang w:bidi="x-non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395F63">
    <w:pPr>
      <w:pStyle w:val="FreeForm"/>
      <w:rPr>
        <w:rFonts w:ascii="Times New Roman" w:eastAsia="Times New Roman" w:hAnsi="Times New Roman"/>
        <w:color w:val="auto"/>
        <w:sz w:val="20"/>
        <w:lang w:bidi="x-non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395F63">
    <w:pPr>
      <w:pStyle w:val="FreeForm"/>
      <w:rPr>
        <w:rFonts w:ascii="Times New Roman" w:eastAsia="Times New Roman" w:hAnsi="Times New Roman"/>
        <w:color w:val="auto"/>
        <w:sz w:val="20"/>
        <w:lang w:bidi="x-non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395F63">
    <w:pPr>
      <w:pStyle w:val="FreeForm"/>
      <w:rPr>
        <w:rFonts w:ascii="Times New Roman" w:eastAsia="Times New Roman" w:hAnsi="Times New Roman"/>
        <w:color w:val="auto"/>
        <w:sz w:val="20"/>
        <w:lang w:bidi="x-non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F63" w:rsidRDefault="00395F63">
    <w:pPr>
      <w:pStyle w:val="FreeForm"/>
      <w:rPr>
        <w:rFonts w:ascii="Times New Roman" w:eastAsia="Times New Roman" w:hAnsi="Times New Roman"/>
        <w:color w:val="auto"/>
        <w:sz w:val="20"/>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oNotTrackMoves/>
  <w:defaultTabStop w:val="720"/>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666B4"/>
    <w:rsid w:val="000666B4"/>
    <w:rsid w:val="00395F63"/>
    <w:rsid w:val="00613AB4"/>
    <w:rsid w:val="0069300B"/>
    <w:rsid w:val="00883E40"/>
    <w:rsid w:val="00887663"/>
    <w:rsid w:val="00962204"/>
    <w:rsid w:val="00BE5E64"/>
    <w:rsid w:val="00C53125"/>
    <w:rsid w:val="00CE1946"/>
    <w:rsid w:val="00EE04BC"/>
    <w:rsid w:val="00F40F1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locked="1" w:qFormat="1"/>
    <w:lsdException w:name="heading 1" w:locked="1"/>
    <w:lsdException w:name="heading 2" w:locked="1"/>
    <w:lsdException w:name="heading 3" w:locked="1"/>
    <w:lsdException w:name="heading 4" w:locked="1"/>
    <w:lsdException w:name="heading 5" w:locked="1"/>
    <w:lsdException w:name="heading 6" w:locked="1"/>
    <w:lsdException w:name="heading 7" w:locked="1"/>
    <w:lsdException w:name="heading 8" w:locked="1"/>
    <w:lsdException w:name="heading 9" w:locked="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pPr>
      <w:spacing w:after="200" w:line="276" w:lineRule="auto"/>
    </w:pPr>
    <w:rPr>
      <w:rFonts w:ascii="Calibri" w:eastAsia="ヒラギノ角ゴ Pro W3" w:hAnsi="Calibri"/>
      <w:color w:val="000000"/>
      <w:sz w:val="2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next w:val="Body"/>
    <w:qFormat/>
    <w:pPr>
      <w:keepNext/>
      <w:outlineLvl w:val="0"/>
    </w:pPr>
    <w:rPr>
      <w:rFonts w:ascii="Helvetica" w:eastAsia="ヒラギノ角ゴ Pro W3" w:hAnsi="Helvetica"/>
      <w:b/>
      <w:color w:val="000000"/>
      <w:sz w:val="36"/>
    </w:rPr>
  </w:style>
  <w:style w:type="paragraph" w:customStyle="1" w:styleId="Heading21">
    <w:name w:val="Heading 21"/>
    <w:next w:val="Body"/>
    <w:qFormat/>
    <w:pPr>
      <w:keepNext/>
      <w:outlineLvl w:val="1"/>
    </w:pPr>
    <w:rPr>
      <w:rFonts w:ascii="Helvetica" w:eastAsia="ヒラギノ角ゴ Pro W3" w:hAnsi="Helvetica"/>
      <w:b/>
      <w:color w:val="000000"/>
      <w:sz w:val="24"/>
    </w:rPr>
  </w:style>
  <w:style w:type="paragraph" w:customStyle="1" w:styleId="Heading31">
    <w:name w:val="Heading 31"/>
    <w:next w:val="Body"/>
    <w:qFormat/>
    <w:pPr>
      <w:spacing w:before="280" w:line="288" w:lineRule="auto"/>
      <w:outlineLvl w:val="2"/>
    </w:pPr>
    <w:rPr>
      <w:rFonts w:ascii="American Typewriter" w:eastAsia="ヒラギノ角ゴ Pro W3" w:hAnsi="American Typewriter"/>
      <w:b/>
      <w:color w:val="000000"/>
      <w:sz w:val="28"/>
    </w:rPr>
  </w:style>
  <w:style w:type="paragraph" w:customStyle="1" w:styleId="Heading41">
    <w:name w:val="Heading 41"/>
    <w:next w:val="Body"/>
    <w:qFormat/>
    <w:pPr>
      <w:spacing w:before="280" w:line="288" w:lineRule="auto"/>
      <w:outlineLvl w:val="3"/>
    </w:pPr>
    <w:rPr>
      <w:rFonts w:ascii="American Typewriter" w:eastAsia="ヒラギノ角ゴ Pro W3" w:hAnsi="American Typewriter"/>
      <w:b/>
      <w:color w:val="000000"/>
      <w:sz w:val="28"/>
    </w:rPr>
  </w:style>
  <w:style w:type="paragraph" w:customStyle="1" w:styleId="Heading51">
    <w:name w:val="Heading 51"/>
    <w:next w:val="Body"/>
    <w:qFormat/>
    <w:pPr>
      <w:spacing w:before="280" w:line="288" w:lineRule="auto"/>
      <w:outlineLvl w:val="4"/>
    </w:pPr>
    <w:rPr>
      <w:rFonts w:ascii="American Typewriter" w:eastAsia="ヒラギノ角ゴ Pro W3" w:hAnsi="American Typewriter"/>
      <w:b/>
      <w:color w:val="000000"/>
      <w:sz w:val="28"/>
    </w:rPr>
  </w:style>
  <w:style w:type="paragraph" w:customStyle="1" w:styleId="Heading61">
    <w:name w:val="Heading 61"/>
    <w:next w:val="Body"/>
    <w:qFormat/>
    <w:pPr>
      <w:spacing w:before="280" w:line="288" w:lineRule="auto"/>
      <w:outlineLvl w:val="5"/>
    </w:pPr>
    <w:rPr>
      <w:rFonts w:ascii="American Typewriter" w:eastAsia="ヒラギノ角ゴ Pro W3" w:hAnsi="American Typewriter"/>
      <w:b/>
      <w:color w:val="000000"/>
      <w:sz w:val="28"/>
    </w:rPr>
  </w:style>
  <w:style w:type="paragraph" w:customStyle="1" w:styleId="Heading71">
    <w:name w:val="Heading 71"/>
    <w:next w:val="Body"/>
    <w:qFormat/>
    <w:pPr>
      <w:spacing w:before="280" w:line="288" w:lineRule="auto"/>
      <w:outlineLvl w:val="6"/>
    </w:pPr>
    <w:rPr>
      <w:rFonts w:ascii="American Typewriter" w:eastAsia="ヒラギノ角ゴ Pro W3" w:hAnsi="American Typewriter"/>
      <w:b/>
      <w:color w:val="000000"/>
      <w:sz w:val="28"/>
    </w:rPr>
  </w:style>
  <w:style w:type="paragraph" w:customStyle="1" w:styleId="Heading81">
    <w:name w:val="Heading 81"/>
    <w:next w:val="Body"/>
    <w:qFormat/>
    <w:pPr>
      <w:spacing w:before="280" w:line="288" w:lineRule="auto"/>
      <w:outlineLvl w:val="7"/>
    </w:pPr>
    <w:rPr>
      <w:rFonts w:ascii="American Typewriter" w:eastAsia="ヒラギノ角ゴ Pro W3" w:hAnsi="American Typewriter"/>
      <w:b/>
      <w:color w:val="000000"/>
      <w:sz w:val="28"/>
    </w:rPr>
  </w:style>
  <w:style w:type="paragraph" w:customStyle="1" w:styleId="Heading91">
    <w:name w:val="Heading 91"/>
    <w:next w:val="Body"/>
    <w:qFormat/>
    <w:pPr>
      <w:spacing w:before="280" w:line="288" w:lineRule="auto"/>
      <w:outlineLvl w:val="8"/>
    </w:pPr>
    <w:rPr>
      <w:rFonts w:ascii="American Typewriter" w:eastAsia="ヒラギノ角ゴ Pro W3" w:hAnsi="American Typewriter"/>
      <w:b/>
      <w:color w:val="000000"/>
      <w:sz w:val="28"/>
    </w:rPr>
  </w:style>
  <w:style w:type="paragraph" w:customStyle="1" w:styleId="FreeForm">
    <w:name w:val="Free Form"/>
    <w:pPr>
      <w:spacing w:line="288" w:lineRule="auto"/>
    </w:pPr>
    <w:rPr>
      <w:rFonts w:ascii="American Typewriter" w:eastAsia="ヒラギノ角ゴ Pro W3" w:hAnsi="American Typewriter"/>
      <w:color w:val="000000"/>
      <w:sz w:val="28"/>
    </w:rPr>
  </w:style>
  <w:style w:type="paragraph" w:customStyle="1" w:styleId="HeaderFooter">
    <w:name w:val="Header &amp; Footer"/>
    <w:pPr>
      <w:tabs>
        <w:tab w:val="center" w:pos="4819"/>
        <w:tab w:val="right" w:pos="9638"/>
      </w:tabs>
    </w:pPr>
    <w:rPr>
      <w:rFonts w:ascii="American Typewriter" w:eastAsia="ヒラギノ角ゴ Pro W3" w:hAnsi="American Typewriter"/>
      <w:b/>
      <w:color w:val="9A1822"/>
      <w:sz w:val="24"/>
    </w:rPr>
  </w:style>
  <w:style w:type="paragraph" w:customStyle="1" w:styleId="Title1">
    <w:name w:val="Title1"/>
    <w:next w:val="Body"/>
    <w:pPr>
      <w:keepNext/>
      <w:spacing w:after="280"/>
      <w:jc w:val="center"/>
      <w:outlineLvl w:val="0"/>
    </w:pPr>
    <w:rPr>
      <w:rFonts w:ascii="American Typewriter" w:eastAsia="ヒラギノ角ゴ Pro W3" w:hAnsi="American Typewriter"/>
      <w:color w:val="9A1822"/>
      <w:sz w:val="96"/>
    </w:rPr>
  </w:style>
  <w:style w:type="paragraph" w:customStyle="1" w:styleId="Body">
    <w:name w:val="Body"/>
    <w:autoRedefine/>
    <w:pPr>
      <w:spacing w:line="288" w:lineRule="auto"/>
    </w:pPr>
    <w:rPr>
      <w:rFonts w:ascii="American Typewriter" w:eastAsia="ヒラギノ角ゴ Pro W3" w:hAnsi="American Typewriter"/>
      <w:color w:val="000000"/>
      <w:sz w:val="28"/>
    </w:rPr>
  </w:style>
  <w:style w:type="paragraph" w:customStyle="1" w:styleId="NameCourseInformation">
    <w:name w:val="Name &amp; Course Information"/>
    <w:pPr>
      <w:keepNext/>
      <w:jc w:val="center"/>
    </w:pPr>
    <w:rPr>
      <w:rFonts w:ascii="American Typewriter" w:eastAsia="ヒラギノ角ゴ Pro W3" w:hAnsi="American Typewriter"/>
      <w:color w:val="9A1822"/>
      <w:sz w:val="28"/>
    </w:rPr>
  </w:style>
  <w:style w:type="paragraph" w:customStyle="1" w:styleId="TOC11">
    <w:name w:val="TOC 11"/>
    <w:pPr>
      <w:tabs>
        <w:tab w:val="right" w:pos="9638"/>
      </w:tabs>
      <w:spacing w:before="240" w:after="60"/>
      <w:ind w:left="360"/>
      <w:outlineLvl w:val="0"/>
    </w:pPr>
    <w:rPr>
      <w:rFonts w:ascii="American Typewriter" w:eastAsia="ヒラギノ角ゴ Pro W3" w:hAnsi="American Typewriter"/>
      <w:b/>
      <w:color w:val="000000"/>
      <w:sz w:val="28"/>
    </w:rPr>
  </w:style>
  <w:style w:type="paragraph" w:customStyle="1" w:styleId="TOC21">
    <w:name w:val="TOC 21"/>
    <w:basedOn w:val="TOCHeading1"/>
    <w:autoRedefine/>
    <w:pPr>
      <w:tabs>
        <w:tab w:val="clear" w:pos="9638"/>
        <w:tab w:val="right" w:leader="dot" w:pos="9066"/>
      </w:tabs>
    </w:pPr>
    <w:rPr>
      <w:rFonts w:ascii="Helvetica" w:hAnsi="Helvetica"/>
    </w:rPr>
  </w:style>
  <w:style w:type="paragraph" w:customStyle="1" w:styleId="TOCHeading1">
    <w:name w:val="TOC Heading 1"/>
    <w:pPr>
      <w:tabs>
        <w:tab w:val="right" w:pos="9638"/>
      </w:tabs>
      <w:spacing w:before="240" w:after="60"/>
      <w:outlineLvl w:val="0"/>
    </w:pPr>
    <w:rPr>
      <w:rFonts w:ascii="American Typewriter" w:eastAsia="ヒラギノ角ゴ Pro W3" w:hAnsi="American Typewriter"/>
      <w:b/>
      <w:color w:val="000000"/>
      <w:sz w:val="36"/>
    </w:rPr>
  </w:style>
  <w:style w:type="paragraph" w:customStyle="1" w:styleId="TOC31">
    <w:name w:val="TOC 31"/>
    <w:basedOn w:val="TOCHeading1"/>
    <w:rPr>
      <w:rFonts w:ascii="Arial" w:hAnsi="Arial"/>
    </w:rPr>
  </w:style>
  <w:style w:type="paragraph" w:customStyle="1" w:styleId="TOC41">
    <w:name w:val="TOC 41"/>
    <w:basedOn w:val="TOC11"/>
    <w:pPr>
      <w:tabs>
        <w:tab w:val="clear" w:pos="9638"/>
        <w:tab w:val="right" w:leader="dot" w:pos="9066"/>
      </w:tabs>
    </w:pPr>
    <w:rPr>
      <w:rFonts w:ascii="Helvetica" w:hAnsi="Helvetica"/>
    </w:rPr>
  </w:style>
  <w:style w:type="paragraph" w:customStyle="1" w:styleId="TOC51">
    <w:name w:val="TOC 51"/>
    <w:basedOn w:val="TOC11"/>
    <w:rPr>
      <w:rFonts w:ascii="Arial" w:hAnsi="Arial"/>
    </w:rPr>
  </w:style>
  <w:style w:type="paragraph" w:customStyle="1" w:styleId="TOC61">
    <w:name w:val="TOC 61"/>
    <w:basedOn w:val="TOCHeading3"/>
    <w:pPr>
      <w:tabs>
        <w:tab w:val="clear" w:pos="9638"/>
        <w:tab w:val="right" w:leader="dot" w:pos="9360"/>
      </w:tabs>
    </w:pPr>
    <w:rPr>
      <w:rFonts w:ascii="Helvetica" w:hAnsi="Helvetica"/>
      <w:i/>
    </w:rPr>
  </w:style>
  <w:style w:type="paragraph" w:customStyle="1" w:styleId="TOCHeading3">
    <w:name w:val="TOC Heading 3"/>
    <w:pPr>
      <w:tabs>
        <w:tab w:val="right" w:pos="9638"/>
      </w:tabs>
      <w:spacing w:before="240"/>
      <w:ind w:left="720"/>
      <w:outlineLvl w:val="0"/>
    </w:pPr>
    <w:rPr>
      <w:rFonts w:ascii="American Typewriter" w:eastAsia="ヒラギノ角ゴ Pro W3" w:hAnsi="American Typewriter"/>
      <w:b/>
      <w:color w:val="000000"/>
      <w:sz w:val="24"/>
    </w:rPr>
  </w:style>
  <w:style w:type="paragraph" w:customStyle="1" w:styleId="TOC71">
    <w:name w:val="TOC 71"/>
    <w:pPr>
      <w:tabs>
        <w:tab w:val="right" w:pos="9638"/>
      </w:tabs>
      <w:spacing w:before="240" w:after="60"/>
      <w:outlineLvl w:val="0"/>
    </w:pPr>
    <w:rPr>
      <w:rFonts w:ascii="American Typewriter" w:eastAsia="ヒラギノ角ゴ Pro W3" w:hAnsi="American Typewriter"/>
      <w:b/>
      <w:color w:val="000000"/>
      <w:sz w:val="36"/>
    </w:rPr>
  </w:style>
  <w:style w:type="paragraph" w:customStyle="1" w:styleId="Glavni">
    <w:name w:val="Glavni"/>
    <w:next w:val="Body"/>
    <w:pPr>
      <w:keepNext/>
      <w:spacing w:after="280"/>
      <w:jc w:val="center"/>
      <w:outlineLvl w:val="0"/>
    </w:pPr>
    <w:rPr>
      <w:rFonts w:ascii="American Typewriter" w:eastAsia="ヒラギノ角ゴ Pro W3" w:hAnsi="American Typewriter"/>
      <w:color w:val="9A1822"/>
      <w:sz w:val="72"/>
    </w:rPr>
  </w:style>
  <w:style w:type="paragraph" w:customStyle="1" w:styleId="Podnaslov">
    <w:name w:val="Podnaslov"/>
    <w:next w:val="Body"/>
    <w:pPr>
      <w:spacing w:before="280" w:line="288" w:lineRule="auto"/>
      <w:outlineLvl w:val="1"/>
    </w:pPr>
    <w:rPr>
      <w:rFonts w:ascii="American Typewriter" w:eastAsia="ヒラギノ角ゴ Pro W3" w:hAnsi="American Typewriter"/>
      <w:b/>
      <w:color w:val="000000"/>
      <w:sz w:val="28"/>
    </w:rPr>
  </w:style>
  <w:style w:type="paragraph" w:customStyle="1" w:styleId="Heading22">
    <w:name w:val="Heading 22"/>
    <w:next w:val="Normal"/>
    <w:pPr>
      <w:keepNext/>
      <w:spacing w:before="240" w:after="60"/>
      <w:outlineLvl w:val="1"/>
    </w:pPr>
    <w:rPr>
      <w:rFonts w:ascii="Arial" w:eastAsia="ヒラギノ角ゴ Pro W3" w:hAnsi="Arial"/>
      <w:b/>
      <w:i/>
      <w:color w:val="000000"/>
      <w:sz w:val="28"/>
    </w:rPr>
  </w:style>
  <w:style w:type="paragraph" w:customStyle="1" w:styleId="Heading12">
    <w:name w:val="Heading 12"/>
    <w:next w:val="Normal"/>
    <w:autoRedefine/>
    <w:pPr>
      <w:keepNext/>
      <w:spacing w:before="240" w:after="60"/>
      <w:outlineLvl w:val="0"/>
    </w:pPr>
    <w:rPr>
      <w:rFonts w:ascii="Arial" w:eastAsia="ヒラギノ角ゴ Pro W3" w:hAnsi="Arial"/>
      <w:b/>
      <w:color w:val="000000"/>
      <w:kern w:val="32"/>
      <w:sz w:val="32"/>
    </w:rPr>
  </w:style>
  <w:style w:type="character" w:customStyle="1" w:styleId="Emphasis1">
    <w:name w:val="Emphasis1"/>
    <w:rPr>
      <w:rFonts w:ascii="American Typewriter" w:eastAsia="ヒラギノ角ゴ Pro W3" w:hAnsi="American Typewriter"/>
      <w:b/>
      <w:i w:val="0"/>
    </w:rPr>
  </w:style>
  <w:style w:type="character" w:customStyle="1" w:styleId="Unknown0">
    <w:name w:val="Unknown 0"/>
    <w:semiHidden/>
  </w:style>
  <w:style w:type="paragraph" w:styleId="Header">
    <w:name w:val="header"/>
    <w:basedOn w:val="Normal"/>
    <w:link w:val="HeaderChar"/>
    <w:locked/>
    <w:rsid w:val="00613AB4"/>
    <w:pPr>
      <w:tabs>
        <w:tab w:val="center" w:pos="4536"/>
        <w:tab w:val="right" w:pos="9072"/>
      </w:tabs>
    </w:pPr>
  </w:style>
  <w:style w:type="character" w:customStyle="1" w:styleId="HeaderChar">
    <w:name w:val="Header Char"/>
    <w:link w:val="Header"/>
    <w:rsid w:val="00613AB4"/>
    <w:rPr>
      <w:rFonts w:ascii="Calibri" w:eastAsia="ヒラギノ角ゴ Pro W3" w:hAnsi="Calibri"/>
      <w:color w:val="000000"/>
      <w:sz w:val="22"/>
      <w:szCs w:val="24"/>
      <w:lang w:val="en-US" w:eastAsia="en-US"/>
    </w:rPr>
  </w:style>
  <w:style w:type="paragraph" w:styleId="Footer">
    <w:name w:val="footer"/>
    <w:basedOn w:val="Normal"/>
    <w:link w:val="FooterChar"/>
    <w:locked/>
    <w:rsid w:val="00613AB4"/>
    <w:pPr>
      <w:tabs>
        <w:tab w:val="center" w:pos="4536"/>
        <w:tab w:val="right" w:pos="9072"/>
      </w:tabs>
    </w:pPr>
  </w:style>
  <w:style w:type="character" w:customStyle="1" w:styleId="FooterChar">
    <w:name w:val="Footer Char"/>
    <w:link w:val="Footer"/>
    <w:rsid w:val="00613AB4"/>
    <w:rPr>
      <w:rFonts w:ascii="Calibri" w:eastAsia="ヒラギノ角ゴ Pro W3" w:hAnsi="Calibri"/>
      <w:color w:val="000000"/>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2.xml"/><Relationship Id="rId26" Type="http://schemas.openxmlformats.org/officeDocument/2006/relationships/hyperlink" Target="http://sl.wikipedia.org/wiki/Rimljani" TargetMode="External"/><Relationship Id="rId39" Type="http://schemas.openxmlformats.org/officeDocument/2006/relationships/hyperlink" Target="http://sl.wikipedia.org/wiki/Provinca" TargetMode="External"/><Relationship Id="rId21" Type="http://schemas.openxmlformats.org/officeDocument/2006/relationships/header" Target="header4.xml"/><Relationship Id="rId34" Type="http://schemas.openxmlformats.org/officeDocument/2006/relationships/hyperlink" Target="http://sl.wikipedia.org/wiki/Rimske_ceste" TargetMode="External"/><Relationship Id="rId42" Type="http://schemas.openxmlformats.org/officeDocument/2006/relationships/image" Target="media/image13.png"/><Relationship Id="rId47" Type="http://schemas.openxmlformats.org/officeDocument/2006/relationships/image" Target="media/image14.png"/><Relationship Id="rId50" Type="http://schemas.openxmlformats.org/officeDocument/2006/relationships/hyperlink" Target="http://sl.wikipedia.org/wiki/85" TargetMode="External"/><Relationship Id="rId55" Type="http://schemas.openxmlformats.org/officeDocument/2006/relationships/footer" Target="footer10.xm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png"/><Relationship Id="rId41" Type="http://schemas.openxmlformats.org/officeDocument/2006/relationships/image" Target="media/image12.jpeg"/><Relationship Id="rId54" Type="http://schemas.openxmlformats.org/officeDocument/2006/relationships/header" Target="header11.xml"/><Relationship Id="rId62"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5.xml"/><Relationship Id="rId32" Type="http://schemas.openxmlformats.org/officeDocument/2006/relationships/footer" Target="footer6.xml"/><Relationship Id="rId37" Type="http://schemas.openxmlformats.org/officeDocument/2006/relationships/hyperlink" Target="http://sl.wikipedia.org/wiki/Kolo" TargetMode="External"/><Relationship Id="rId40" Type="http://schemas.openxmlformats.org/officeDocument/2006/relationships/image" Target="media/image11.png"/><Relationship Id="rId45" Type="http://schemas.openxmlformats.org/officeDocument/2006/relationships/footer" Target="footer8.xml"/><Relationship Id="rId53" Type="http://schemas.openxmlformats.org/officeDocument/2006/relationships/header" Target="header10.xml"/><Relationship Id="rId58"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sl.wikipedia.org/w/index.php?title=Latini&amp;action=edit&amp;redlink=1" TargetMode="External"/><Relationship Id="rId36" Type="http://schemas.openxmlformats.org/officeDocument/2006/relationships/hyperlink" Target="http://sl.wikipedia.org/wiki/Trenje" TargetMode="External"/><Relationship Id="rId49" Type="http://schemas.openxmlformats.org/officeDocument/2006/relationships/hyperlink" Target="http://sl.wikipedia.org/wiki/So%C4%8Da" TargetMode="External"/><Relationship Id="rId57" Type="http://schemas.openxmlformats.org/officeDocument/2006/relationships/image" Target="media/image17.png"/><Relationship Id="rId61" Type="http://schemas.openxmlformats.org/officeDocument/2006/relationships/footer" Target="footer12.xml"/><Relationship Id="rId10" Type="http://schemas.openxmlformats.org/officeDocument/2006/relationships/image" Target="media/image4.png"/><Relationship Id="rId19" Type="http://schemas.openxmlformats.org/officeDocument/2006/relationships/header" Target="header3.xml"/><Relationship Id="rId31" Type="http://schemas.openxmlformats.org/officeDocument/2006/relationships/header" Target="header7.xml"/><Relationship Id="rId44" Type="http://schemas.openxmlformats.org/officeDocument/2006/relationships/header" Target="header9.xml"/><Relationship Id="rId52" Type="http://schemas.openxmlformats.org/officeDocument/2006/relationships/image" Target="media/image16.png"/><Relationship Id="rId60"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5.xml"/><Relationship Id="rId27" Type="http://schemas.openxmlformats.org/officeDocument/2006/relationships/hyperlink" Target="http://sl.wikipedia.org/wiki/Etru%C5%A1%C4%8Dani" TargetMode="External"/><Relationship Id="rId30" Type="http://schemas.openxmlformats.org/officeDocument/2006/relationships/header" Target="header6.xml"/><Relationship Id="rId35" Type="http://schemas.openxmlformats.org/officeDocument/2006/relationships/hyperlink" Target="http://sl.wikipedia.org/wiki/Kamen" TargetMode="External"/><Relationship Id="rId43" Type="http://schemas.openxmlformats.org/officeDocument/2006/relationships/header" Target="header8.xml"/><Relationship Id="rId48" Type="http://schemas.openxmlformats.org/officeDocument/2006/relationships/image" Target="media/image15.png"/><Relationship Id="rId56" Type="http://schemas.openxmlformats.org/officeDocument/2006/relationships/footer" Target="footer11.xm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l.wikipedia.org/wiki/Meter"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footer" Target="footer7.xml"/><Relationship Id="rId38" Type="http://schemas.openxmlformats.org/officeDocument/2006/relationships/hyperlink" Target="http://sl.wikipedia.org/wiki/Voz" TargetMode="External"/><Relationship Id="rId46" Type="http://schemas.openxmlformats.org/officeDocument/2006/relationships/footer" Target="footer9.xml"/><Relationship Id="rId59"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2450</Words>
  <Characters>13969</Characters>
  <Application>Microsoft Office Word</Application>
  <DocSecurity>0</DocSecurity>
  <Lines>116</Lines>
  <Paragraphs>32</Paragraphs>
  <ScaleCrop>false</ScaleCrop>
  <Company/>
  <LinksUpToDate>false</LinksUpToDate>
  <CharactersWithSpaces>16387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2019-05-22T11:30:00Z</dcterms:created>
  <dcterms:modified xsi:type="dcterms:W3CDTF">2019-05-22T11:30:00Z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