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4C0" w:rsidRDefault="006F3217">
      <w:pPr>
        <w:pStyle w:val="Heading2"/>
        <w:numPr>
          <w:ilvl w:val="1"/>
          <w:numId w:val="3"/>
        </w:numPr>
        <w:tabs>
          <w:tab w:val="left" w:pos="0"/>
        </w:tabs>
      </w:pPr>
      <w:bookmarkStart w:id="0" w:name="_GoBack"/>
      <w:bookmarkEnd w:id="0"/>
      <w:r>
        <w:t>Krščanstvo</w:t>
      </w:r>
    </w:p>
    <w:p w:rsidR="005E44C0" w:rsidRDefault="005E44C0"/>
    <w:p w:rsidR="005E44C0" w:rsidRDefault="006F3217">
      <w:pPr>
        <w:pStyle w:val="Heading4"/>
        <w:numPr>
          <w:ilvl w:val="3"/>
          <w:numId w:val="3"/>
        </w:numPr>
        <w:tabs>
          <w:tab w:val="left" w:pos="0"/>
        </w:tabs>
      </w:pPr>
      <w:r>
        <w:t>Palestina pod Rimljani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  <w:rPr>
          <w:color w:val="993366"/>
        </w:rPr>
      </w:pPr>
      <w:r>
        <w:rPr>
          <w:color w:val="FF0000"/>
        </w:rPr>
        <w:t>64 BC</w:t>
      </w:r>
      <w:r>
        <w:t xml:space="preserve"> Palestino osvoji </w:t>
      </w:r>
      <w:r>
        <w:rPr>
          <w:color w:val="993366"/>
        </w:rPr>
        <w:t>Pompej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t>klientelno kraljestvo podrejeno rimski nadoblasti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  <w:rPr>
          <w:color w:val="993366"/>
        </w:rPr>
      </w:pPr>
      <w:r>
        <w:rPr>
          <w:color w:val="FF0000"/>
        </w:rPr>
        <w:t>37</w:t>
      </w:r>
      <w:r>
        <w:t xml:space="preserve"> – </w:t>
      </w:r>
      <w:r>
        <w:rPr>
          <w:color w:val="FF0000"/>
        </w:rPr>
        <w:t>4 BC</w:t>
      </w:r>
      <w:r>
        <w:t xml:space="preserve"> kralj </w:t>
      </w:r>
      <w:r>
        <w:rPr>
          <w:color w:val="993366"/>
        </w:rPr>
        <w:t>Herod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rPr>
          <w:color w:val="FF0000"/>
        </w:rPr>
        <w:t>6 AD</w:t>
      </w:r>
      <w:r>
        <w:t xml:space="preserve"> </w:t>
      </w:r>
      <w:r>
        <w:rPr>
          <w:color w:val="993366"/>
        </w:rPr>
        <w:t>Palestina</w:t>
      </w:r>
      <w:r>
        <w:t xml:space="preserve"> postane rimska provinca s prokuratorji na čelu (nadzor nad prebivalstvom, izterjava davkov)</w:t>
      </w:r>
    </w:p>
    <w:p w:rsidR="005E44C0" w:rsidRDefault="005E44C0"/>
    <w:p w:rsidR="005E44C0" w:rsidRDefault="006F3217">
      <w:pPr>
        <w:pStyle w:val="Heading4"/>
        <w:numPr>
          <w:ilvl w:val="3"/>
          <w:numId w:val="3"/>
        </w:numPr>
        <w:tabs>
          <w:tab w:val="left" w:pos="0"/>
        </w:tabs>
      </w:pPr>
      <w:r>
        <w:t>Judovstvo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rPr>
          <w:color w:val="993366"/>
        </w:rPr>
        <w:t>monoteistično</w:t>
      </w:r>
      <w:r>
        <w:t xml:space="preserve"> verovanje (bog Jahve) sredi politeističnih narodov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t>pričakovanje odrešenika Mesije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t xml:space="preserve">osnova vere je bila </w:t>
      </w:r>
      <w:r>
        <w:rPr>
          <w:color w:val="993366"/>
        </w:rPr>
        <w:t>Postava</w:t>
      </w:r>
      <w:r>
        <w:t xml:space="preserve"> (10 božjih zapovedi)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t>tempelj v Jeruzalemu, veliki duhovnik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t>sinagoge, shodnice</w:t>
      </w:r>
    </w:p>
    <w:p w:rsidR="005E44C0" w:rsidRDefault="005E44C0"/>
    <w:p w:rsidR="005E44C0" w:rsidRDefault="006F3217">
      <w:pPr>
        <w:pStyle w:val="Heading4"/>
        <w:numPr>
          <w:ilvl w:val="3"/>
          <w:numId w:val="3"/>
        </w:numPr>
        <w:tabs>
          <w:tab w:val="left" w:pos="0"/>
        </w:tabs>
      </w:pPr>
      <w:r>
        <w:t>Jezus Kristus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t xml:space="preserve">rojen med letom </w:t>
      </w:r>
      <w:r>
        <w:rPr>
          <w:color w:val="FF0000"/>
        </w:rPr>
        <w:t>7</w:t>
      </w:r>
      <w:r>
        <w:t xml:space="preserve"> in </w:t>
      </w:r>
      <w:r>
        <w:rPr>
          <w:color w:val="FF0000"/>
        </w:rPr>
        <w:t>4 BC</w:t>
      </w:r>
      <w:r>
        <w:t>, začetnik krščanstva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t>starša Marija in Jožef iz Nazareta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t>po krstu v Jordanu oznanja sporočilo o prihodu božjega kraljestva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t>božji sin, številni čudeži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t>številni privrženci in učenci (apostoli)</w:t>
      </w:r>
    </w:p>
    <w:p w:rsidR="005E44C0" w:rsidRDefault="005E44C0"/>
    <w:p w:rsidR="005E44C0" w:rsidRDefault="006F3217">
      <w:pPr>
        <w:pStyle w:val="Heading4"/>
        <w:numPr>
          <w:ilvl w:val="3"/>
          <w:numId w:val="3"/>
        </w:numPr>
        <w:tabs>
          <w:tab w:val="left" w:pos="0"/>
        </w:tabs>
      </w:pPr>
      <w:r>
        <w:t>Jezusov nauk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t>obljuba večnega življenja; blagri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t>apokaliptično-mesijansko mišljenje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t>optimističen odnos do življenja, nenasilnost, ljubezen do bližnjega, enakost med ljudmi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t>vse več privržencev – kristjani</w:t>
      </w:r>
    </w:p>
    <w:p w:rsidR="005E44C0" w:rsidRDefault="005E44C0"/>
    <w:p w:rsidR="005E44C0" w:rsidRDefault="006F3217">
      <w:pPr>
        <w:pStyle w:val="Heading4"/>
        <w:numPr>
          <w:ilvl w:val="3"/>
          <w:numId w:val="3"/>
        </w:numPr>
        <w:tabs>
          <w:tab w:val="left" w:pos="0"/>
        </w:tabs>
      </w:pPr>
      <w:r>
        <w:t>Jezusova smrt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t>številni nasprotniki krščanstva, strah pred širjenjem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t>na praznik pashe ga izda Juda Iškariot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t>obsodba Jezusa na smrt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t>potrdi rimski prokurator Poncij Pilat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t>križanje na Golgoti (</w:t>
      </w:r>
      <w:r>
        <w:rPr>
          <w:color w:val="FF0000"/>
        </w:rPr>
        <w:t>28</w:t>
      </w:r>
      <w:r>
        <w:t xml:space="preserve">, </w:t>
      </w:r>
      <w:r>
        <w:rPr>
          <w:color w:val="FF0000"/>
        </w:rPr>
        <w:t>29AD</w:t>
      </w:r>
      <w:r>
        <w:t>)</w:t>
      </w:r>
    </w:p>
    <w:p w:rsidR="005E44C0" w:rsidRDefault="006F3217">
      <w:pPr>
        <w:pStyle w:val="Heading4"/>
        <w:numPr>
          <w:ilvl w:val="3"/>
          <w:numId w:val="3"/>
        </w:numPr>
        <w:tabs>
          <w:tab w:val="left" w:pos="0"/>
        </w:tabs>
      </w:pPr>
      <w:r>
        <w:t>Biblija ali sveto pismo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t>stara in nova zaveza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t>zgodovinska poročila, pravni spomeniki, govori, izreki, molitve, pesmi, pisma…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t>štirje evangeliji (Matej, Marko, Luka, Janez)</w:t>
      </w:r>
    </w:p>
    <w:p w:rsidR="005E44C0" w:rsidRDefault="005E44C0"/>
    <w:p w:rsidR="005E44C0" w:rsidRDefault="006F3217">
      <w:pPr>
        <w:pStyle w:val="Heading4"/>
        <w:numPr>
          <w:ilvl w:val="3"/>
          <w:numId w:val="3"/>
        </w:numPr>
        <w:tabs>
          <w:tab w:val="left" w:pos="0"/>
        </w:tabs>
      </w:pPr>
      <w:r>
        <w:t>Širjenje krščanstva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t>hitro širjenje iz Male Azije prek Italije in Galije postane znano celotnemu rimskemu imperiju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lastRenderedPageBreak/>
        <w:t>pomembno vlogo pri širjenju igrajo politične, socialne in kulturne razmere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t>cestno omrežje, vodne poti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t>pogum in solidarnost prvih kristjanov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t>spor z državo, preganjanje in poboji kristjanov (Neron, Dioklecijan)</w:t>
      </w:r>
    </w:p>
    <w:p w:rsidR="005E44C0" w:rsidRDefault="006F3217">
      <w:r>
        <w:rPr>
          <w:color w:val="993366"/>
        </w:rPr>
        <w:t>katakombe</w:t>
      </w:r>
      <w:r>
        <w:t xml:space="preserve"> </w:t>
      </w:r>
      <w:r>
        <w:rPr>
          <w:rFonts w:ascii="Wingdings" w:hAnsi="Wingdings"/>
        </w:rPr>
        <w:t></w:t>
      </w:r>
      <w:r>
        <w:t xml:space="preserve"> podzemni prostori z dolgimi večnadstropnimi hodniki</w:t>
      </w:r>
    </w:p>
    <w:p w:rsidR="005E44C0" w:rsidRDefault="005E44C0"/>
    <w:p w:rsidR="005E44C0" w:rsidRDefault="006F3217">
      <w:pPr>
        <w:pStyle w:val="Heading4"/>
        <w:numPr>
          <w:ilvl w:val="3"/>
          <w:numId w:val="3"/>
        </w:numPr>
        <w:tabs>
          <w:tab w:val="left" w:pos="0"/>
        </w:tabs>
      </w:pPr>
      <w:r>
        <w:t>Organizacija cerkve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t>komune iz katerih se razvije cerkvena hierarhija in škofija</w:t>
      </w:r>
    </w:p>
    <w:p w:rsidR="005E44C0" w:rsidRDefault="005E44C0"/>
    <w:p w:rsidR="005E44C0" w:rsidRDefault="006F3217">
      <w:pPr>
        <w:pStyle w:val="Heading4"/>
        <w:numPr>
          <w:ilvl w:val="3"/>
          <w:numId w:val="3"/>
        </w:numPr>
        <w:tabs>
          <w:tab w:val="left" w:pos="0"/>
        </w:tabs>
      </w:pPr>
      <w:r>
        <w:t>Zmaga krščanstva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rPr>
          <w:color w:val="FF0000"/>
        </w:rPr>
        <w:t xml:space="preserve">4.stol. AD </w:t>
      </w:r>
      <w:r>
        <w:rPr>
          <w:rFonts w:ascii="Wingdings" w:hAnsi="Wingdings"/>
        </w:rPr>
        <w:t></w:t>
      </w:r>
      <w:r>
        <w:t xml:space="preserve"> cerkev in država se zbližata</w:t>
      </w:r>
    </w:p>
    <w:p w:rsidR="005E44C0" w:rsidRDefault="006F3217">
      <w:pPr>
        <w:numPr>
          <w:ilvl w:val="0"/>
          <w:numId w:val="2"/>
        </w:numPr>
        <w:tabs>
          <w:tab w:val="left" w:pos="720"/>
        </w:tabs>
      </w:pPr>
      <w:r>
        <w:t>cerkev je zaslužna za prenos rimske in grške kulture v srednji vek</w:t>
      </w:r>
    </w:p>
    <w:sectPr w:rsidR="005E44C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217"/>
    <w:rsid w:val="001929E2"/>
    <w:rsid w:val="005E44C0"/>
    <w:rsid w:val="006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200"/>
      <w:outlineLvl w:val="1"/>
    </w:pPr>
    <w:rPr>
      <w:rFonts w:cs="Arial"/>
      <w:b/>
      <w:bCs/>
      <w:iCs/>
      <w:color w:val="0000FF"/>
      <w:sz w:val="32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60" w:after="240"/>
      <w:outlineLvl w:val="3"/>
    </w:pPr>
    <w:rPr>
      <w:b/>
      <w:bCs/>
      <w:color w:val="FF0066"/>
      <w:sz w:val="26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5">
    <w:name w:val="WW8Num3z5"/>
    <w:rPr>
      <w:rFonts w:ascii="Wingdings" w:hAnsi="Wingdings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