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04" w:rsidRDefault="009258A0">
      <w:pPr>
        <w:pStyle w:val="Navadensplet"/>
        <w:spacing w:line="360" w:lineRule="auto"/>
        <w:jc w:val="both"/>
        <w:rPr>
          <w:rFonts w:ascii="Arial" w:hAnsi="Arial" w:cs="Arial"/>
          <w:b/>
        </w:rPr>
      </w:pPr>
      <w:bookmarkStart w:id="0" w:name="_GoBack"/>
      <w:bookmarkEnd w:id="0"/>
      <w:r>
        <w:rPr>
          <w:rFonts w:ascii="Arial" w:hAnsi="Arial" w:cs="Arial"/>
          <w:b/>
        </w:rPr>
        <w:t>MARIJA TEREZIJA</w:t>
      </w:r>
    </w:p>
    <w:p w:rsidR="00E44C04" w:rsidRDefault="009258A0">
      <w:pPr>
        <w:pStyle w:val="Navadensplet"/>
        <w:spacing w:line="360" w:lineRule="auto"/>
        <w:jc w:val="both"/>
        <w:rPr>
          <w:rFonts w:ascii="Arial" w:hAnsi="Arial" w:cs="Arial"/>
        </w:rPr>
      </w:pPr>
      <w:r>
        <w:rPr>
          <w:rFonts w:ascii="Arial" w:hAnsi="Arial" w:cs="Arial"/>
        </w:rPr>
        <w:t xml:space="preserve">Za štirideset let je zasedla prestol, ki ji ob rojstvu 13. maja 1717 sploh ni bil namenjen za skoraj izumrlo habsburško rodbino. Nadarjena, častihlepna in plodna plemkinja sprva še ni kazala nobenih posebnosti: njeni fevdni in poslovni odnosi so bili povprečni in tudi podaniki ji niso bili tako zvesti kot pozneje. Zdaj bo vse drugače, dejal cesaričin veliki nasprotnik, pruski kralj Friderik II., po njeni smrti. </w:t>
      </w:r>
    </w:p>
    <w:p w:rsidR="00E44C04" w:rsidRDefault="009258A0">
      <w:pPr>
        <w:pStyle w:val="Navadensplet"/>
        <w:spacing w:line="360" w:lineRule="auto"/>
        <w:jc w:val="both"/>
        <w:rPr>
          <w:rFonts w:ascii="Arial" w:hAnsi="Arial" w:cs="Arial"/>
        </w:rPr>
      </w:pPr>
      <w:r>
        <w:rPr>
          <w:rFonts w:ascii="Arial" w:hAnsi="Arial" w:cs="Arial"/>
        </w:rPr>
        <w:t>Marija Terezija, odločna katoličanka ter avstrijska in nemška cesarica.  S smislom za vladanje in žensko intuicijo je zaznamovala svoje stoletje. Oče Marije Terezije, Karel VI., ki ni imel moškega naslednika, je s spremembo zakonodaje leta 1713 uzakonil pravico nasledstva tudi za ženske. Vendar hčere ni vzgajal v tem smislu. Leta 1736 se je Marija Terezija poročila s Francem Štefanom Lotrnškim. V njunem zakonu se je že leto po poroki rodil prvi od šestnajstih otrok. Ko je Marija Terezija leta 1740 prišla na prestol, je bila država v težkem položaju. Po dolgih bojih na različnih frontah je leta 1745 za nekaj časa zavladal mir. Marija Terezija je bila boljši vojskovodja kot njen omahljiv mož. Če ne bi bila stalno noseča, mi nihče ne bi mogel preprečiti, da bi stopila na čelo vojske, je nekoč dejala. Kot mnoge vladarje tistega časa je tudi njo obsedla graditeljska mrzlica: dokončla je grad Schönbrunn, njenega najljubšega bivališča. Uredila je 1500 sob. Marija Terezija je uvajala reforme na gospodarskih in političnih  področjih. Tako je uvedla:</w:t>
      </w:r>
    </w:p>
    <w:p w:rsidR="00E44C04" w:rsidRDefault="0080572A">
      <w:pPr>
        <w:pStyle w:val="Navadensplet"/>
        <w:numPr>
          <w:ilvl w:val="0"/>
          <w:numId w:val="1"/>
        </w:numPr>
        <w:tabs>
          <w:tab w:val="left" w:pos="720"/>
        </w:tabs>
        <w:spacing w:after="0" w:line="360" w:lineRule="auto"/>
        <w:jc w:val="both"/>
        <w:rPr>
          <w:rFonts w:ascii="Arial" w:hAnsi="Arial" w:cs="Arial"/>
        </w:rPr>
      </w:pPr>
      <w:hyperlink r:id="rId5" w:history="1">
        <w:r w:rsidR="009258A0">
          <w:rPr>
            <w:rStyle w:val="Hyperlink"/>
            <w:rFonts w:ascii="Arial" w:hAnsi="Arial"/>
          </w:rPr>
          <w:t>reforme davkov</w:t>
        </w:r>
      </w:hyperlink>
      <w:r w:rsidR="009258A0">
        <w:rPr>
          <w:rFonts w:ascii="Arial" w:hAnsi="Arial" w:cs="Arial"/>
        </w:rPr>
        <w:t xml:space="preserve"> </w:t>
      </w:r>
    </w:p>
    <w:p w:rsidR="00E44C04" w:rsidRDefault="0080572A">
      <w:pPr>
        <w:pStyle w:val="Navadensplet"/>
        <w:numPr>
          <w:ilvl w:val="0"/>
          <w:numId w:val="1"/>
        </w:numPr>
        <w:tabs>
          <w:tab w:val="left" w:pos="720"/>
        </w:tabs>
        <w:spacing w:before="0" w:after="0" w:line="360" w:lineRule="auto"/>
        <w:jc w:val="both"/>
        <w:rPr>
          <w:rFonts w:ascii="Arial" w:hAnsi="Arial" w:cs="Arial"/>
        </w:rPr>
      </w:pPr>
      <w:hyperlink r:id="rId6" w:history="1">
        <w:r w:rsidR="009258A0">
          <w:rPr>
            <w:rStyle w:val="Hyperlink"/>
            <w:rFonts w:ascii="Arial" w:hAnsi="Arial"/>
          </w:rPr>
          <w:t>reforme vojske</w:t>
        </w:r>
      </w:hyperlink>
      <w:r w:rsidR="009258A0">
        <w:rPr>
          <w:rFonts w:ascii="Arial" w:hAnsi="Arial" w:cs="Arial"/>
        </w:rPr>
        <w:t xml:space="preserve"> </w:t>
      </w:r>
    </w:p>
    <w:p w:rsidR="00E44C04" w:rsidRDefault="0080572A">
      <w:pPr>
        <w:pStyle w:val="Navadensplet"/>
        <w:numPr>
          <w:ilvl w:val="0"/>
          <w:numId w:val="1"/>
        </w:numPr>
        <w:tabs>
          <w:tab w:val="left" w:pos="720"/>
        </w:tabs>
        <w:spacing w:before="0" w:after="0" w:line="360" w:lineRule="auto"/>
        <w:jc w:val="both"/>
        <w:rPr>
          <w:rFonts w:ascii="Arial" w:hAnsi="Arial" w:cs="Arial"/>
        </w:rPr>
      </w:pPr>
      <w:hyperlink r:id="rId7" w:anchor="_blank" w:history="1">
        <w:r w:rsidR="009258A0">
          <w:rPr>
            <w:rStyle w:val="Hyperlink"/>
            <w:rFonts w:ascii="Arial" w:hAnsi="Arial"/>
          </w:rPr>
          <w:t>reforme šolstva</w:t>
        </w:r>
      </w:hyperlink>
      <w:r w:rsidR="009258A0">
        <w:rPr>
          <w:rFonts w:ascii="Arial" w:hAnsi="Arial" w:cs="Arial"/>
        </w:rPr>
        <w:t xml:space="preserve"> </w:t>
      </w:r>
    </w:p>
    <w:p w:rsidR="00E44C04" w:rsidRDefault="009258A0">
      <w:pPr>
        <w:pStyle w:val="Navadensplet"/>
        <w:numPr>
          <w:ilvl w:val="0"/>
          <w:numId w:val="1"/>
        </w:numPr>
        <w:tabs>
          <w:tab w:val="left" w:pos="720"/>
        </w:tabs>
        <w:spacing w:before="0" w:after="0" w:line="360" w:lineRule="auto"/>
        <w:jc w:val="both"/>
        <w:rPr>
          <w:rFonts w:ascii="Arial" w:hAnsi="Arial" w:cs="Arial"/>
        </w:rPr>
      </w:pPr>
      <w:r>
        <w:rPr>
          <w:rFonts w:ascii="Arial" w:hAnsi="Arial" w:cs="Arial"/>
        </w:rPr>
        <w:t xml:space="preserve">upravne reforme </w:t>
      </w:r>
    </w:p>
    <w:p w:rsidR="00E44C04" w:rsidRDefault="009258A0">
      <w:pPr>
        <w:pStyle w:val="Navadensplet"/>
        <w:numPr>
          <w:ilvl w:val="0"/>
          <w:numId w:val="1"/>
        </w:numPr>
        <w:tabs>
          <w:tab w:val="left" w:pos="720"/>
        </w:tabs>
        <w:spacing w:before="0" w:after="0" w:line="360" w:lineRule="auto"/>
        <w:jc w:val="both"/>
        <w:rPr>
          <w:rFonts w:ascii="Arial" w:hAnsi="Arial" w:cs="Arial"/>
        </w:rPr>
      </w:pPr>
      <w:r>
        <w:rPr>
          <w:rFonts w:ascii="Arial" w:hAnsi="Arial" w:cs="Arial"/>
        </w:rPr>
        <w:t xml:space="preserve">gospodarske reforme </w:t>
      </w:r>
    </w:p>
    <w:p w:rsidR="00E44C04" w:rsidRDefault="009258A0">
      <w:pPr>
        <w:pStyle w:val="Navadensplet"/>
        <w:numPr>
          <w:ilvl w:val="0"/>
          <w:numId w:val="1"/>
        </w:numPr>
        <w:tabs>
          <w:tab w:val="left" w:pos="720"/>
        </w:tabs>
        <w:spacing w:before="0" w:after="0" w:line="360" w:lineRule="auto"/>
        <w:jc w:val="both"/>
        <w:rPr>
          <w:rFonts w:ascii="Arial" w:hAnsi="Arial" w:cs="Arial"/>
        </w:rPr>
      </w:pPr>
      <w:r>
        <w:rPr>
          <w:rFonts w:ascii="Arial" w:hAnsi="Arial" w:cs="Arial"/>
        </w:rPr>
        <w:t xml:space="preserve">reforme javne uprave </w:t>
      </w:r>
    </w:p>
    <w:p w:rsidR="00E44C04" w:rsidRDefault="009258A0">
      <w:pPr>
        <w:pStyle w:val="Navadensplet"/>
        <w:numPr>
          <w:ilvl w:val="0"/>
          <w:numId w:val="1"/>
        </w:numPr>
        <w:tabs>
          <w:tab w:val="left" w:pos="720"/>
        </w:tabs>
        <w:spacing w:before="0" w:after="0" w:line="360" w:lineRule="auto"/>
        <w:jc w:val="both"/>
        <w:rPr>
          <w:rFonts w:ascii="Arial" w:hAnsi="Arial" w:cs="Arial"/>
        </w:rPr>
      </w:pPr>
      <w:r>
        <w:rPr>
          <w:rFonts w:ascii="Arial" w:hAnsi="Arial" w:cs="Arial"/>
        </w:rPr>
        <w:t xml:space="preserve">prosvetne reforme </w:t>
      </w:r>
    </w:p>
    <w:p w:rsidR="00E44C04" w:rsidRDefault="009258A0">
      <w:pPr>
        <w:pStyle w:val="Navadensplet"/>
        <w:numPr>
          <w:ilvl w:val="0"/>
          <w:numId w:val="1"/>
        </w:numPr>
        <w:tabs>
          <w:tab w:val="left" w:pos="720"/>
        </w:tabs>
        <w:spacing w:before="0" w:after="0" w:line="360" w:lineRule="auto"/>
        <w:jc w:val="both"/>
        <w:rPr>
          <w:rFonts w:ascii="Arial" w:hAnsi="Arial" w:cs="Arial"/>
        </w:rPr>
      </w:pPr>
      <w:r>
        <w:rPr>
          <w:rFonts w:ascii="Arial" w:hAnsi="Arial" w:cs="Arial"/>
        </w:rPr>
        <w:t xml:space="preserve">reforme sodstva </w:t>
      </w:r>
    </w:p>
    <w:p w:rsidR="00E44C04" w:rsidRDefault="009258A0">
      <w:pPr>
        <w:pStyle w:val="Navadensplet"/>
        <w:numPr>
          <w:ilvl w:val="0"/>
          <w:numId w:val="1"/>
        </w:numPr>
        <w:tabs>
          <w:tab w:val="left" w:pos="720"/>
        </w:tabs>
        <w:spacing w:before="0" w:after="0" w:line="360" w:lineRule="auto"/>
        <w:jc w:val="both"/>
        <w:rPr>
          <w:rFonts w:ascii="Arial" w:hAnsi="Arial" w:cs="Arial"/>
        </w:rPr>
      </w:pPr>
      <w:r>
        <w:rPr>
          <w:rFonts w:ascii="Arial" w:hAnsi="Arial" w:cs="Arial"/>
        </w:rPr>
        <w:t xml:space="preserve">reforme zdravstva </w:t>
      </w:r>
    </w:p>
    <w:p w:rsidR="00E44C04" w:rsidRDefault="009258A0">
      <w:pPr>
        <w:pStyle w:val="Navadensplet"/>
        <w:numPr>
          <w:ilvl w:val="0"/>
          <w:numId w:val="1"/>
        </w:numPr>
        <w:tabs>
          <w:tab w:val="left" w:pos="720"/>
        </w:tabs>
        <w:spacing w:before="0" w:line="360" w:lineRule="auto"/>
        <w:jc w:val="both"/>
        <w:rPr>
          <w:rFonts w:ascii="Arial" w:hAnsi="Arial" w:cs="Arial"/>
        </w:rPr>
      </w:pPr>
      <w:r>
        <w:rPr>
          <w:rFonts w:ascii="Arial" w:hAnsi="Arial" w:cs="Arial"/>
        </w:rPr>
        <w:t xml:space="preserve">reforme cerkvene organizacije </w:t>
      </w:r>
    </w:p>
    <w:p w:rsidR="00E44C04" w:rsidRDefault="009258A0">
      <w:pPr>
        <w:pStyle w:val="Navadensplet"/>
        <w:spacing w:line="360" w:lineRule="auto"/>
        <w:jc w:val="both"/>
        <w:rPr>
          <w:rFonts w:ascii="Arial" w:hAnsi="Arial" w:cs="Arial"/>
        </w:rPr>
      </w:pPr>
      <w:r>
        <w:rPr>
          <w:rFonts w:ascii="Arial" w:hAnsi="Arial" w:cs="Arial"/>
        </w:rPr>
        <w:t>29. novembra 1780, je Marije Terezije umrla.</w:t>
      </w:r>
    </w:p>
    <w:sectPr w:rsidR="00E44C0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8A0"/>
    <w:rsid w:val="0080572A"/>
    <w:rsid w:val="009258A0"/>
    <w:rsid w:val="00E44C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Privzetapisavaodstavka">
    <w:name w:val="Privzeta pisava odstavka"/>
  </w:style>
  <w:style w:type="character" w:styleId="Hyperlink">
    <w:name w:val="Hyperlink"/>
    <w:basedOn w:val="Privzetapisavaodstavka"/>
    <w:semiHidden/>
    <w:rPr>
      <w:color w:val="0000FF"/>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gim.kr.edus.si/projekti/timko/2001_2002/strazisce/Polona/reforma_solstv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gim.kr.edus.si/projekti/timko/2001_2002/strazisce/Polona/reforma_vojske.htm" TargetMode="External"/><Relationship Id="rId5" Type="http://schemas.openxmlformats.org/officeDocument/2006/relationships/hyperlink" Target="http://web.s-gim.kr.edus.si/projekti/timko/2001_2002/strazisce/Polona/reforma_davkov.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