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05" w:rsidRDefault="000040E7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Katoliška obnova ali Protireformacija</w:t>
      </w:r>
    </w:p>
    <w:p w:rsidR="004C5905" w:rsidRDefault="004C5905">
      <w:pPr>
        <w:jc w:val="both"/>
      </w:pPr>
    </w:p>
    <w:p w:rsidR="004C5905" w:rsidRDefault="000040E7">
      <w:pPr>
        <w:jc w:val="both"/>
      </w:pPr>
      <w:r>
        <w:rPr>
          <w:b/>
          <w:color w:val="0000FF"/>
        </w:rPr>
        <w:t>Protirefomacija</w:t>
      </w:r>
      <w:r>
        <w:t xml:space="preserve"> – to je bilo gibanje katoliške Cerkve proti reformaciji in težnja po odpravi lastne notranje krize.</w:t>
      </w:r>
    </w:p>
    <w:p w:rsidR="004C5905" w:rsidRDefault="004C5905">
      <w:pPr>
        <w:jc w:val="both"/>
      </w:pPr>
    </w:p>
    <w:p w:rsidR="004C5905" w:rsidRDefault="000040E7">
      <w:pPr>
        <w:jc w:val="both"/>
      </w:pPr>
      <w:r>
        <w:rPr>
          <w:b/>
        </w:rPr>
        <w:t>a)</w:t>
      </w:r>
      <w:r>
        <w:t xml:space="preserve"> </w:t>
      </w:r>
      <w:r>
        <w:rPr>
          <w:b/>
        </w:rPr>
        <w:t>Koncil v Tridentu</w:t>
      </w:r>
      <w:r>
        <w:t xml:space="preserve"> (1545-1563) se je zavzel za:</w:t>
      </w:r>
    </w:p>
    <w:p w:rsidR="004C5905" w:rsidRDefault="000040E7">
      <w:pPr>
        <w:numPr>
          <w:ilvl w:val="0"/>
          <w:numId w:val="2"/>
        </w:numPr>
        <w:tabs>
          <w:tab w:val="left" w:pos="720"/>
        </w:tabs>
        <w:jc w:val="both"/>
      </w:pPr>
      <w:r>
        <w:t>boljo izobrazbo duhovnikov</w:t>
      </w:r>
    </w:p>
    <w:p w:rsidR="004C5905" w:rsidRDefault="000040E7">
      <w:pPr>
        <w:numPr>
          <w:ilvl w:val="0"/>
          <w:numId w:val="2"/>
        </w:numPr>
        <w:tabs>
          <w:tab w:val="left" w:pos="720"/>
        </w:tabs>
        <w:jc w:val="both"/>
      </w:pPr>
      <w:r>
        <w:t>prepoved odpustkov in prodajanja cerkvenih služb</w:t>
      </w:r>
    </w:p>
    <w:p w:rsidR="004C5905" w:rsidRDefault="000040E7">
      <w:pPr>
        <w:numPr>
          <w:ilvl w:val="0"/>
          <w:numId w:val="2"/>
        </w:numPr>
        <w:tabs>
          <w:tab w:val="left" w:pos="720"/>
        </w:tabs>
        <w:jc w:val="both"/>
      </w:pPr>
      <w:r>
        <w:t>določitev dolžnosti in pravic papeštva</w:t>
      </w:r>
    </w:p>
    <w:p w:rsidR="004C5905" w:rsidRDefault="004C5905">
      <w:pPr>
        <w:jc w:val="both"/>
      </w:pPr>
    </w:p>
    <w:p w:rsidR="004C5905" w:rsidRDefault="000040E7">
      <w:pPr>
        <w:jc w:val="both"/>
      </w:pPr>
      <w:r>
        <w:rPr>
          <w:u w:val="single"/>
        </w:rPr>
        <w:t>Reformni papeži</w:t>
      </w:r>
      <w:r>
        <w:t xml:space="preserve">: - izboljšajo stanje v Cerkvi </w:t>
      </w:r>
    </w:p>
    <w:p w:rsidR="004C5905" w:rsidRDefault="000040E7">
      <w:pPr>
        <w:pStyle w:val="BodyTextIndent"/>
      </w:pPr>
      <w:r>
        <w:t>- uvajajo spremembe (reforma koledarja, misijonarsko delo v novo odkritih     deželah)</w:t>
      </w:r>
    </w:p>
    <w:p w:rsidR="004C5905" w:rsidRDefault="004C5905">
      <w:pPr>
        <w:jc w:val="both"/>
      </w:pPr>
    </w:p>
    <w:p w:rsidR="004C5905" w:rsidRDefault="000040E7">
      <w:pPr>
        <w:pStyle w:val="BodyText"/>
      </w:pPr>
      <w:r>
        <w:rPr>
          <w:b/>
        </w:rPr>
        <w:t>b)</w:t>
      </w:r>
      <w:r>
        <w:t xml:space="preserve"> </w:t>
      </w:r>
      <w:r>
        <w:rPr>
          <w:b/>
        </w:rPr>
        <w:t>Jezuiti</w:t>
      </w:r>
      <w:r>
        <w:t>: - močna opora papeštva, meniški red, ustanovitelj nekdanji španski oficir   IGNACIJ LOYOLA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ukvarjali so se predvsem s šolstvom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spovedniki vladarjev</w:t>
      </w:r>
    </w:p>
    <w:p w:rsidR="004C5905" w:rsidRDefault="004C5905">
      <w:pPr>
        <w:pStyle w:val="BodyText"/>
      </w:pPr>
    </w:p>
    <w:p w:rsidR="004C5905" w:rsidRDefault="000040E7">
      <w:pPr>
        <w:pStyle w:val="BodyText"/>
      </w:pPr>
      <w:r>
        <w:rPr>
          <w:b/>
        </w:rPr>
        <w:t>c) Verski boji</w:t>
      </w:r>
      <w:r>
        <w:t xml:space="preserve"> v večini evropskih držav, vodijo jih katoliški Cerkvi naklonjeno vladarji in plemiči.</w:t>
      </w:r>
    </w:p>
    <w:p w:rsidR="004C5905" w:rsidRDefault="000040E7">
      <w:pPr>
        <w:pStyle w:val="BodyText"/>
        <w:numPr>
          <w:ilvl w:val="0"/>
          <w:numId w:val="3"/>
        </w:numPr>
        <w:tabs>
          <w:tab w:val="left" w:pos="720"/>
        </w:tabs>
      </w:pPr>
      <w:r>
        <w:t>Državljanska vojna v Franciji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hugenoti – privrženci kalvinizma v Franciji (obrtniki, premožno meščani, plemstvo)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rPr>
          <w:b/>
        </w:rPr>
        <w:t>nantski edikt</w:t>
      </w:r>
      <w:r>
        <w:t xml:space="preserve"> 1598 – zagotovi versko svobodo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rPr>
          <w:b/>
        </w:rPr>
        <w:t xml:space="preserve">šentjernejska noč </w:t>
      </w:r>
      <w:r>
        <w:t>– 23./24. avgusta 1572 – poboj okrog 3000 hugenotov v Parizu, uvod v krvave obračune</w:t>
      </w:r>
    </w:p>
    <w:p w:rsidR="004C5905" w:rsidRDefault="004C5905">
      <w:pPr>
        <w:pStyle w:val="BodyText"/>
        <w:rPr>
          <w:b/>
        </w:rPr>
      </w:pPr>
    </w:p>
    <w:p w:rsidR="004C5905" w:rsidRDefault="000040E7">
      <w:pPr>
        <w:pStyle w:val="BodyText"/>
        <w:numPr>
          <w:ilvl w:val="0"/>
          <w:numId w:val="3"/>
        </w:numPr>
        <w:tabs>
          <w:tab w:val="left" w:pos="720"/>
        </w:tabs>
      </w:pPr>
      <w:r>
        <w:t>Nizozemska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pod špansko oblastjo, kralj je močno povezan s katoliško Cerkvijo, težnje po španski prevladi v Evropi, inkvizicija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nizozemske province gospodarsko močno razvite (trgovina, pomorstvo, kmetijstvo)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>upor proti španskemu absolutizmu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t xml:space="preserve">1581 so protestantske severne province razglasile neodvisnost </w:t>
      </w:r>
      <w:r>
        <w:rPr>
          <w:rFonts w:ascii="Wingdings" w:hAnsi="Wingdings"/>
        </w:rPr>
        <w:t></w:t>
      </w:r>
      <w:r>
        <w:t xml:space="preserve"> HOLANDSKA republika – postane svetovna pomorska in kolonialna sila</w:t>
      </w:r>
    </w:p>
    <w:p w:rsidR="004C5905" w:rsidRDefault="004C5905">
      <w:pPr>
        <w:pStyle w:val="BodyText"/>
      </w:pPr>
    </w:p>
    <w:p w:rsidR="004C5905" w:rsidRDefault="000040E7">
      <w:pPr>
        <w:pStyle w:val="BodyText"/>
        <w:numPr>
          <w:ilvl w:val="0"/>
          <w:numId w:val="3"/>
        </w:numPr>
        <w:tabs>
          <w:tab w:val="left" w:pos="720"/>
        </w:tabs>
      </w:pPr>
      <w:r>
        <w:t>Tridesetletna vojna na Nemškem (1618-1648)</w:t>
      </w:r>
    </w:p>
    <w:p w:rsidR="004C5905" w:rsidRDefault="000040E7">
      <w:pPr>
        <w:pStyle w:val="BodyText"/>
        <w:ind w:left="360"/>
      </w:pPr>
      <w:r>
        <w:t>- »unija« združuje protestantske kneze</w:t>
      </w:r>
    </w:p>
    <w:p w:rsidR="004C5905" w:rsidRDefault="000040E7">
      <w:pPr>
        <w:pStyle w:val="BodyText"/>
        <w:ind w:left="360"/>
      </w:pPr>
      <w:r>
        <w:t>- »liga« povezuje katoliške vladarje</w:t>
      </w:r>
    </w:p>
    <w:p w:rsidR="004C5905" w:rsidRDefault="000040E7">
      <w:pPr>
        <w:pStyle w:val="BodyText"/>
        <w:ind w:left="360"/>
      </w:pPr>
      <w:r>
        <w:t>- najemniške čete pustošijo po mestih in podeželju</w:t>
      </w:r>
    </w:p>
    <w:p w:rsidR="004C5905" w:rsidRDefault="000040E7">
      <w:pPr>
        <w:pStyle w:val="BodyText"/>
        <w:ind w:left="360"/>
      </w:pPr>
      <w:r>
        <w:t>- lakota, nalezljive bolezni, upadanje števila prebivalstva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lastRenderedPageBreak/>
        <w:t>na strani protestantskih knezov vmešane tudi Danska, Švedska in Francija</w:t>
      </w:r>
    </w:p>
    <w:p w:rsidR="004C5905" w:rsidRDefault="000040E7">
      <w:pPr>
        <w:pStyle w:val="BodyText"/>
        <w:numPr>
          <w:ilvl w:val="1"/>
          <w:numId w:val="1"/>
        </w:numPr>
        <w:tabs>
          <w:tab w:val="left" w:pos="1440"/>
        </w:tabs>
      </w:pPr>
      <w:r>
        <w:rPr>
          <w:b/>
        </w:rPr>
        <w:t>vestfalski mir</w:t>
      </w:r>
      <w:r>
        <w:t xml:space="preserve"> (Münster, Osnabrück, 1648) </w:t>
      </w:r>
      <w:r>
        <w:rPr>
          <w:rFonts w:ascii="Wingdings" w:hAnsi="Wingdings"/>
        </w:rPr>
        <w:t></w:t>
      </w:r>
      <w:r>
        <w:t xml:space="preserve"> Evropska ureditev na novih osnovah</w:t>
      </w:r>
    </w:p>
    <w:sectPr w:rsidR="004C590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0E7"/>
    <w:rsid w:val="000040E7"/>
    <w:rsid w:val="002D7768"/>
    <w:rsid w:val="004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1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