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FAB" w:rsidRDefault="008C39D9">
      <w:pPr>
        <w:pStyle w:val="Heading2"/>
        <w:numPr>
          <w:ilvl w:val="1"/>
          <w:numId w:val="4"/>
        </w:numPr>
        <w:tabs>
          <w:tab w:val="left" w:pos="0"/>
        </w:tabs>
      </w:pPr>
      <w:bookmarkStart w:id="0" w:name="_GoBack"/>
      <w:bookmarkEnd w:id="0"/>
      <w:r>
        <w:t>Srednjeveška mesta</w:t>
      </w:r>
    </w:p>
    <w:p w:rsidR="00192FAB" w:rsidRDefault="00192FAB">
      <w:pPr>
        <w:rPr>
          <w:rFonts w:ascii="Arial" w:hAnsi="Arial" w:cs="Arial"/>
          <w:color w:val="000000"/>
          <w:sz w:val="20"/>
        </w:rPr>
      </w:pPr>
    </w:p>
    <w:p w:rsidR="00192FAB" w:rsidRDefault="008C39D9">
      <w:pPr>
        <w:rPr>
          <w:rFonts w:ascii="Arial" w:hAnsi="Arial" w:cs="Arial"/>
          <w:color w:val="FF0000"/>
          <w:sz w:val="20"/>
        </w:rPr>
      </w:pPr>
      <w:r>
        <w:rPr>
          <w:rFonts w:ascii="Arial" w:hAnsi="Arial" w:cs="Arial"/>
          <w:color w:val="000000"/>
          <w:sz w:val="20"/>
        </w:rPr>
        <w:t xml:space="preserve">   Večina srednjeveških mest je nastalo od </w:t>
      </w:r>
      <w:r>
        <w:rPr>
          <w:rFonts w:ascii="Arial" w:hAnsi="Arial" w:cs="Arial"/>
          <w:color w:val="FF0000"/>
          <w:sz w:val="20"/>
        </w:rPr>
        <w:t>11.–14. stol.</w:t>
      </w:r>
      <w:r>
        <w:rPr>
          <w:rFonts w:ascii="Arial" w:hAnsi="Arial" w:cs="Arial"/>
          <w:color w:val="000000"/>
          <w:sz w:val="20"/>
        </w:rPr>
        <w:t xml:space="preserve">, na Slovenskem pa od </w:t>
      </w:r>
      <w:r>
        <w:rPr>
          <w:rFonts w:ascii="Arial" w:hAnsi="Arial" w:cs="Arial"/>
          <w:color w:val="FF0000"/>
          <w:sz w:val="20"/>
        </w:rPr>
        <w:t xml:space="preserve">13.-15. stol. </w:t>
      </w:r>
      <w:r>
        <w:rPr>
          <w:rFonts w:ascii="Arial" w:hAnsi="Arial" w:cs="Arial"/>
          <w:color w:val="000000"/>
          <w:sz w:val="20"/>
        </w:rPr>
        <w:t xml:space="preserve">Razen primorskih mest, ki se ohranijo od antike do srednjega veka – kontinuiteta, vsa ostala mesta propadejo vse do </w:t>
      </w:r>
      <w:r>
        <w:rPr>
          <w:rFonts w:ascii="Arial" w:hAnsi="Arial" w:cs="Arial"/>
          <w:color w:val="FF0000"/>
          <w:sz w:val="20"/>
        </w:rPr>
        <w:t>11.stol.</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Vzroki za nastanek mest</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Prvi vzrok so bile križarske vojne, ki so prinesle gospodarski razvoj. Pospešijo trgovina, obrt.</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Naslednji vzrok je težnja fevdalcev po gmotni koristi, ki so ustanavljali mesta.</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 xml:space="preserve">Privilegirani sloji so imeli potrebe po luksuznem blagu, ki pride večinoma z V iz Orienta (sila razkošno pohištvo). </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 xml:space="preserve">Izboljšan način obdelovanja zemlje privede do presežka pridelka in lahko se oživi promet, trgovina in denarna menjava. Odličen trg za pridelke so bila mesta. Mesta imajo v Sloveniji od 100-3000 prebivalcev. Benetke so imele takrat 120 000 prebivalcev. V </w:t>
      </w:r>
      <w:r>
        <w:rPr>
          <w:rFonts w:ascii="Arial" w:hAnsi="Arial" w:cs="Arial"/>
          <w:color w:val="FF0000"/>
          <w:sz w:val="20"/>
        </w:rPr>
        <w:t xml:space="preserve">13.stol. </w:t>
      </w:r>
      <w:r>
        <w:rPr>
          <w:rFonts w:ascii="Arial" w:hAnsi="Arial" w:cs="Arial"/>
          <w:color w:val="000000"/>
          <w:sz w:val="20"/>
        </w:rPr>
        <w:t xml:space="preserve">je bilo v Evropi 70 milijonov prebivalcev (takrat se je povečalo). </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Ugodne lokacije</w:t>
      </w:r>
    </w:p>
    <w:p w:rsidR="00192FAB" w:rsidRDefault="008C39D9">
      <w:pPr>
        <w:rPr>
          <w:rFonts w:ascii="Arial" w:hAnsi="Arial" w:cs="Arial"/>
          <w:color w:val="000000"/>
          <w:sz w:val="20"/>
        </w:rPr>
      </w:pPr>
      <w:r>
        <w:rPr>
          <w:rFonts w:ascii="Arial" w:hAnsi="Arial" w:cs="Arial"/>
          <w:color w:val="000000"/>
          <w:sz w:val="20"/>
        </w:rPr>
        <w:t xml:space="preserve">   Mesta so nastajala v bližini gradov, cerkva in samostanov. Zelo ugodne lokacije so tudi antične podlage, iz katerih so lahko dobili nov gradbeni material. Nastajajo tudi ob bregovih velikih rek – Ren, Donava, Pad. Pomembna so tudi križišča trgovskih poti, kraji pod gorskimi prelazi, pristanišča.</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Razlike mesto – trg</w:t>
      </w:r>
    </w:p>
    <w:p w:rsidR="00192FAB" w:rsidRDefault="008C39D9">
      <w:pPr>
        <w:rPr>
          <w:rFonts w:ascii="Arial" w:hAnsi="Arial" w:cs="Arial"/>
          <w:color w:val="000000"/>
          <w:sz w:val="20"/>
        </w:rPr>
      </w:pPr>
      <w:r>
        <w:rPr>
          <w:rFonts w:ascii="Arial" w:hAnsi="Arial" w:cs="Arial"/>
          <w:color w:val="000000"/>
          <w:sz w:val="20"/>
        </w:rPr>
        <w:t xml:space="preserve">   Mesto ima pravico do obzidja, trg pa ne. Mesta so ustanavljali fevdalci. Pojavi se vedno večje število prebivalcev in hiš. Oboji so osebno svobodni. Ukvarjajo se s trgovino, obrtjo, kreditnimi posli. Meščani so vmesni sloj med plemstvom in podložništvom.</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Mestne pravice</w:t>
      </w:r>
    </w:p>
    <w:p w:rsidR="00192FAB" w:rsidRDefault="008C39D9">
      <w:pPr>
        <w:rPr>
          <w:rFonts w:ascii="Arial" w:hAnsi="Arial" w:cs="Arial"/>
          <w:color w:val="000000"/>
          <w:sz w:val="20"/>
        </w:rPr>
      </w:pPr>
      <w:r>
        <w:rPr>
          <w:rFonts w:ascii="Arial" w:hAnsi="Arial" w:cs="Arial"/>
          <w:color w:val="000000"/>
          <w:sz w:val="20"/>
        </w:rPr>
        <w:t xml:space="preserve">   Fevdalci so mestom podeljevali mestne privilegije, ki so bili kasneje zapisani v ________, pri nas Piran leta </w:t>
      </w:r>
      <w:r>
        <w:rPr>
          <w:rFonts w:ascii="Arial" w:hAnsi="Arial" w:cs="Arial"/>
          <w:color w:val="FF0000"/>
          <w:sz w:val="20"/>
        </w:rPr>
        <w:t xml:space="preserve">1274 </w:t>
      </w:r>
      <w:r>
        <w:rPr>
          <w:rFonts w:ascii="Arial" w:hAnsi="Arial" w:cs="Arial"/>
          <w:color w:val="000000"/>
          <w:sz w:val="20"/>
        </w:rPr>
        <w:t xml:space="preserve">in Ptuj leta </w:t>
      </w:r>
      <w:r>
        <w:rPr>
          <w:rFonts w:ascii="Arial" w:hAnsi="Arial" w:cs="Arial"/>
          <w:color w:val="FF0000"/>
          <w:sz w:val="20"/>
        </w:rPr>
        <w:t>1376</w:t>
      </w:r>
      <w:r>
        <w:rPr>
          <w:rFonts w:ascii="Arial" w:hAnsi="Arial" w:cs="Arial"/>
          <w:color w:val="000000"/>
          <w:sz w:val="20"/>
        </w:rPr>
        <w:t>. Mesto ima pravico do osebne svobode, mestnega obzidja, mestne samouprave in sodstva, sejma in skladiščnega prava (kdor je šel mimo mesta je moral postaviti na prodaj svoje izdelke in jih nekaj časa skladiščiti), mestnega miru (od 22h do 6h je moral biti mir), obrambe in izgona nezaželjenih ljudi, carin, mitnin (za prečkanje kmetov) in obveznih trgovskih poti.</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Status meščana</w:t>
      </w:r>
    </w:p>
    <w:p w:rsidR="00192FAB" w:rsidRDefault="008C39D9">
      <w:pPr>
        <w:rPr>
          <w:rFonts w:ascii="Arial" w:hAnsi="Arial" w:cs="Arial"/>
          <w:color w:val="000000"/>
          <w:sz w:val="20"/>
        </w:rPr>
      </w:pPr>
      <w:r>
        <w:rPr>
          <w:rFonts w:ascii="Arial" w:hAnsi="Arial" w:cs="Arial"/>
          <w:color w:val="000000"/>
          <w:sz w:val="20"/>
        </w:rPr>
        <w:t xml:space="preserve">Status meščana ima: kdor se v mestu rodi, se tja poroči ali kupi hišo. Statusa meščani nimajo plemiči, mestna duhovščina, služabniki, Judje. </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Zunanje značilnosti mesta</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obzidje s stolpi, jarki</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ozke in visoke hiše, tako večji izkoristek prostora, hiše so bile le iz lesa, zato veliko požarov</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središče mesta je trg, kjer so bili cerkev, rotovž (mestna hiša), gostilna, pranger (sramotilni steber)</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ubožnica (špital), šola, bolnišnica</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netlakovane, blatne in umazane ulice kamor so metali odpadke</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t>Težave srednjeveških mest</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zelo slaba higiena (ni kanalizacije, razsvetljave)</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nevarnost požarov</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nalezljive bolezni (kolera, kuga, griža)</w:t>
      </w:r>
    </w:p>
    <w:p w:rsidR="00192FAB" w:rsidRDefault="008C39D9">
      <w:pPr>
        <w:numPr>
          <w:ilvl w:val="0"/>
          <w:numId w:val="3"/>
        </w:numPr>
        <w:tabs>
          <w:tab w:val="left" w:pos="720"/>
        </w:tabs>
        <w:rPr>
          <w:rFonts w:ascii="Arial" w:hAnsi="Arial" w:cs="Arial"/>
          <w:color w:val="000000"/>
          <w:sz w:val="20"/>
        </w:rPr>
      </w:pPr>
      <w:r>
        <w:rPr>
          <w:rFonts w:ascii="Arial" w:hAnsi="Arial" w:cs="Arial"/>
          <w:color w:val="000000"/>
          <w:sz w:val="20"/>
        </w:rPr>
        <w:t>smrad, nemir</w:t>
      </w:r>
    </w:p>
    <w:p w:rsidR="00192FAB" w:rsidRDefault="00192FAB">
      <w:pPr>
        <w:rPr>
          <w:rFonts w:ascii="Arial" w:hAnsi="Arial" w:cs="Arial"/>
          <w:color w:val="000000"/>
          <w:sz w:val="20"/>
        </w:rPr>
      </w:pPr>
    </w:p>
    <w:p w:rsidR="00192FAB" w:rsidRDefault="008C39D9">
      <w:pPr>
        <w:rPr>
          <w:rFonts w:ascii="Arial" w:hAnsi="Arial" w:cs="Arial"/>
          <w:color w:val="000000"/>
          <w:sz w:val="20"/>
        </w:rPr>
      </w:pPr>
      <w:r>
        <w:rPr>
          <w:rFonts w:ascii="Arial" w:hAnsi="Arial" w:cs="Arial"/>
          <w:color w:val="000000"/>
          <w:sz w:val="20"/>
        </w:rPr>
        <w:t xml:space="preserve">   Mesta so iz strahu pred širjenjem nalezljivih bolezni uvedla karantene. Prvo karanteno so uvedli v Dubrovniku.</w:t>
      </w:r>
    </w:p>
    <w:p w:rsidR="00192FAB" w:rsidRDefault="00192FAB">
      <w:pPr>
        <w:rPr>
          <w:rFonts w:ascii="Arial" w:hAnsi="Arial" w:cs="Arial"/>
          <w:color w:val="000000"/>
          <w:sz w:val="20"/>
        </w:rPr>
      </w:pPr>
    </w:p>
    <w:p w:rsidR="00192FAB" w:rsidRDefault="008C39D9">
      <w:pPr>
        <w:pStyle w:val="SlogNaslov310ptrnaNipodrtano"/>
        <w:numPr>
          <w:ilvl w:val="0"/>
          <w:numId w:val="4"/>
        </w:numPr>
        <w:tabs>
          <w:tab w:val="left" w:pos="0"/>
        </w:tabs>
      </w:pPr>
      <w:r>
        <w:lastRenderedPageBreak/>
        <w:t>Sloji mestnega prebivalstva</w:t>
      </w:r>
    </w:p>
    <w:p w:rsidR="00192FAB" w:rsidRDefault="008C39D9">
      <w:pPr>
        <w:numPr>
          <w:ilvl w:val="0"/>
          <w:numId w:val="2"/>
        </w:numPr>
        <w:tabs>
          <w:tab w:val="left" w:pos="720"/>
        </w:tabs>
        <w:rPr>
          <w:rFonts w:ascii="Arial" w:hAnsi="Arial" w:cs="Arial"/>
          <w:color w:val="000000"/>
          <w:sz w:val="20"/>
        </w:rPr>
      </w:pPr>
      <w:r>
        <w:rPr>
          <w:rFonts w:ascii="Arial" w:hAnsi="Arial" w:cs="Arial"/>
          <w:color w:val="000000"/>
          <w:sz w:val="20"/>
        </w:rPr>
        <w:t xml:space="preserve">vrh + plemstvo </w:t>
      </w:r>
      <w:r>
        <w:rPr>
          <w:rFonts w:ascii="Wingdings" w:hAnsi="Wingdings"/>
          <w:color w:val="000000"/>
          <w:sz w:val="20"/>
        </w:rPr>
        <w:t></w:t>
      </w:r>
      <w:r>
        <w:rPr>
          <w:rFonts w:ascii="Arial" w:hAnsi="Arial" w:cs="Arial"/>
          <w:color w:val="000000"/>
          <w:sz w:val="20"/>
        </w:rPr>
        <w:t xml:space="preserve"> trgovci, denarni in bančni poslovneži, visoki uradniki in upravniki posesti, močni obrtniki in cehovski mojstri ter lastniki nepremičnin</w:t>
      </w:r>
    </w:p>
    <w:p w:rsidR="00192FAB" w:rsidRDefault="008C39D9">
      <w:pPr>
        <w:numPr>
          <w:ilvl w:val="0"/>
          <w:numId w:val="2"/>
        </w:numPr>
        <w:tabs>
          <w:tab w:val="left" w:pos="720"/>
        </w:tabs>
        <w:rPr>
          <w:rFonts w:ascii="Arial" w:hAnsi="Arial" w:cs="Arial"/>
          <w:color w:val="000000"/>
          <w:sz w:val="20"/>
        </w:rPr>
      </w:pPr>
      <w:r>
        <w:rPr>
          <w:rFonts w:ascii="Arial" w:hAnsi="Arial" w:cs="Arial"/>
          <w:color w:val="000000"/>
          <w:sz w:val="20"/>
        </w:rPr>
        <w:t xml:space="preserve">drugi sloj </w:t>
      </w:r>
      <w:r>
        <w:rPr>
          <w:rFonts w:ascii="Wingdings" w:hAnsi="Wingdings"/>
          <w:color w:val="000000"/>
          <w:sz w:val="20"/>
        </w:rPr>
        <w:t></w:t>
      </w:r>
      <w:r>
        <w:rPr>
          <w:rFonts w:ascii="Arial" w:hAnsi="Arial" w:cs="Arial"/>
          <w:color w:val="000000"/>
          <w:sz w:val="20"/>
        </w:rPr>
        <w:t xml:space="preserve"> lastniki obrtnih, manufakturnih ter storitvenih delavnic in obratov</w:t>
      </w:r>
    </w:p>
    <w:p w:rsidR="00192FAB" w:rsidRDefault="008C39D9">
      <w:pPr>
        <w:numPr>
          <w:ilvl w:val="0"/>
          <w:numId w:val="2"/>
        </w:numPr>
        <w:tabs>
          <w:tab w:val="left" w:pos="720"/>
        </w:tabs>
        <w:rPr>
          <w:rFonts w:ascii="Arial" w:hAnsi="Arial" w:cs="Arial"/>
          <w:color w:val="000000"/>
          <w:sz w:val="20"/>
        </w:rPr>
      </w:pPr>
      <w:r>
        <w:rPr>
          <w:rFonts w:ascii="Arial" w:hAnsi="Arial" w:cs="Arial"/>
          <w:color w:val="000000"/>
          <w:sz w:val="20"/>
        </w:rPr>
        <w:t xml:space="preserve">tretji sloj </w:t>
      </w:r>
      <w:r>
        <w:rPr>
          <w:rFonts w:ascii="Wingdings" w:hAnsi="Wingdings"/>
          <w:color w:val="000000"/>
          <w:sz w:val="20"/>
        </w:rPr>
        <w:t></w:t>
      </w:r>
      <w:r>
        <w:rPr>
          <w:rFonts w:ascii="Arial" w:hAnsi="Arial" w:cs="Arial"/>
          <w:color w:val="000000"/>
          <w:sz w:val="20"/>
        </w:rPr>
        <w:t xml:space="preserve"> uradniki, uslužbenci, začasni nameščenci</w:t>
      </w:r>
    </w:p>
    <w:p w:rsidR="00192FAB" w:rsidRDefault="008C39D9">
      <w:pPr>
        <w:numPr>
          <w:ilvl w:val="0"/>
          <w:numId w:val="2"/>
        </w:numPr>
        <w:tabs>
          <w:tab w:val="left" w:pos="720"/>
        </w:tabs>
        <w:rPr>
          <w:rFonts w:ascii="Arial" w:hAnsi="Arial" w:cs="Arial"/>
          <w:color w:val="000000"/>
          <w:sz w:val="20"/>
        </w:rPr>
      </w:pPr>
      <w:r>
        <w:rPr>
          <w:rFonts w:ascii="Arial" w:hAnsi="Arial" w:cs="Arial"/>
          <w:color w:val="000000"/>
          <w:sz w:val="20"/>
        </w:rPr>
        <w:t xml:space="preserve">četrti sloj </w:t>
      </w:r>
      <w:r>
        <w:rPr>
          <w:rFonts w:ascii="Wingdings" w:hAnsi="Wingdings"/>
          <w:color w:val="000000"/>
          <w:sz w:val="20"/>
        </w:rPr>
        <w:t></w:t>
      </w:r>
      <w:r>
        <w:rPr>
          <w:rFonts w:ascii="Arial" w:hAnsi="Arial" w:cs="Arial"/>
          <w:color w:val="000000"/>
          <w:sz w:val="20"/>
        </w:rPr>
        <w:t xml:space="preserve"> pripravniki, vajenci, neizobraženi delavci, zaposleni pri prej naštetih lastnikih in uradnikih</w:t>
      </w:r>
    </w:p>
    <w:p w:rsidR="00192FAB" w:rsidRDefault="008C39D9">
      <w:pPr>
        <w:numPr>
          <w:ilvl w:val="0"/>
          <w:numId w:val="2"/>
        </w:numPr>
        <w:tabs>
          <w:tab w:val="left" w:pos="720"/>
        </w:tabs>
        <w:rPr>
          <w:rFonts w:ascii="Arial" w:hAnsi="Arial" w:cs="Arial"/>
          <w:color w:val="000000"/>
          <w:sz w:val="20"/>
        </w:rPr>
      </w:pPr>
      <w:r>
        <w:rPr>
          <w:rFonts w:ascii="Arial" w:hAnsi="Arial" w:cs="Arial"/>
          <w:color w:val="000000"/>
          <w:sz w:val="20"/>
        </w:rPr>
        <w:t xml:space="preserve">peti sloj </w:t>
      </w:r>
      <w:r>
        <w:rPr>
          <w:rFonts w:ascii="Wingdings" w:hAnsi="Wingdings"/>
          <w:color w:val="000000"/>
          <w:sz w:val="20"/>
        </w:rPr>
        <w:t></w:t>
      </w:r>
      <w:r>
        <w:rPr>
          <w:rFonts w:ascii="Arial" w:hAnsi="Arial" w:cs="Arial"/>
          <w:color w:val="000000"/>
          <w:sz w:val="20"/>
        </w:rPr>
        <w:t xml:space="preserve"> brezposelna mladina, reveži in berači, mestna sodrga – kriminalci, ostareli, pohabljenci ter zavrženci</w:t>
      </w:r>
    </w:p>
    <w:sectPr w:rsidR="00192FA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0"/>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cs="Aria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9D9"/>
    <w:rsid w:val="00192FAB"/>
    <w:rsid w:val="005C2DA9"/>
    <w:rsid w:val="008C39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2">
    <w:name w:val="heading 2"/>
    <w:basedOn w:val="Normal"/>
    <w:next w:val="Normal"/>
    <w:qFormat/>
    <w:pPr>
      <w:keepNext/>
      <w:numPr>
        <w:ilvl w:val="1"/>
        <w:numId w:val="1"/>
      </w:numPr>
      <w:spacing w:before="120" w:after="200"/>
      <w:outlineLvl w:val="1"/>
    </w:pPr>
    <w:rPr>
      <w:rFonts w:ascii="Arial" w:hAnsi="Arial" w:cs="Arial"/>
      <w:b/>
      <w:bCs/>
      <w:iCs/>
      <w:color w:val="FF00FF"/>
      <w:sz w:val="32"/>
      <w:szCs w:val="28"/>
      <w:u w:val="single"/>
    </w:rPr>
  </w:style>
  <w:style w:type="paragraph" w:styleId="Heading3">
    <w:name w:val="heading 3"/>
    <w:basedOn w:val="Normal"/>
    <w:next w:val="Normal"/>
    <w:qFormat/>
    <w:pPr>
      <w:keepNext/>
      <w:numPr>
        <w:ilvl w:val="2"/>
        <w:numId w:val="1"/>
      </w:numPr>
      <w:spacing w:before="60" w:after="240"/>
      <w:outlineLvl w:val="2"/>
    </w:pPr>
    <w:rPr>
      <w:rFonts w:ascii="Arial" w:hAnsi="Arial" w:cs="Arial"/>
      <w:b/>
      <w:bCs/>
      <w:color w:val="339966"/>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3z5">
    <w:name w:val="WW8Num3z5"/>
    <w:rPr>
      <w:rFonts w:ascii="Wingdings" w:hAnsi="Wingding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SlogNaslov310ptrnaNipodrtano">
    <w:name w:val="Slog Naslov 3 + 10 pt črna Ni podčrtano"/>
    <w:basedOn w:val="Heading3"/>
    <w:pPr>
      <w:numPr>
        <w:numId w:val="0"/>
      </w:numPr>
      <w:spacing w:before="100" w:after="120"/>
      <w:outlineLvl w:val="9"/>
    </w:pPr>
    <w:rPr>
      <w:color w:val="3366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