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68" w:rsidRPr="003628A9" w:rsidRDefault="009F4368" w:rsidP="009F4368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3628A9">
        <w:rPr>
          <w:sz w:val="28"/>
          <w:szCs w:val="28"/>
          <w:u w:val="single"/>
        </w:rPr>
        <w:t>STANOVSKA MONARHIJA</w:t>
      </w:r>
    </w:p>
    <w:p w:rsidR="009F4368" w:rsidRDefault="009F4368" w:rsidP="009F4368">
      <w:pPr>
        <w:pStyle w:val="NoSpacing"/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Trije redi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>hierarhično urejena družba:</w:t>
      </w:r>
    </w:p>
    <w:p w:rsidR="009F4368" w:rsidRDefault="009F4368" w:rsidP="009F4368">
      <w:pPr>
        <w:pStyle w:val="NoSpacing"/>
        <w:numPr>
          <w:ilvl w:val="0"/>
          <w:numId w:val="18"/>
        </w:numPr>
      </w:pPr>
      <w:r>
        <w:t>duhovščina</w:t>
      </w:r>
    </w:p>
    <w:p w:rsidR="009F4368" w:rsidRDefault="009F4368" w:rsidP="009F4368">
      <w:pPr>
        <w:pStyle w:val="NoSpacing"/>
        <w:numPr>
          <w:ilvl w:val="0"/>
          <w:numId w:val="18"/>
        </w:numPr>
      </w:pPr>
      <w:r>
        <w:t>plemstvo</w:t>
      </w:r>
    </w:p>
    <w:p w:rsidR="009F4368" w:rsidRDefault="009F4368" w:rsidP="009F4368">
      <w:pPr>
        <w:pStyle w:val="NoSpacing"/>
        <w:numPr>
          <w:ilvl w:val="0"/>
          <w:numId w:val="18"/>
        </w:numPr>
      </w:pPr>
      <w:r>
        <w:t>kmetje (z razvojem mest meščani)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 xml:space="preserve">vloga določena z rojstvom/posvetitvijo </w:t>
      </w:r>
    </w:p>
    <w:p w:rsidR="009F4368" w:rsidRDefault="009F4368" w:rsidP="009F4368">
      <w:pPr>
        <w:pStyle w:val="NoSpacing"/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Družba verujočih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>srednjeveška evropska družba je bila verujoča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>prevladujočo družbeno vlogo je imela visoka duhovščina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>bila je posvečena (maziljena) – poznali, razumeli, razlagali božjo voljo, v skladu z njo urejali odnose med vsemi redi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 xml:space="preserve">duhovščina in plemstvo upravičena do soudeležbe pri vladanju 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>kritika takšne ureditve je bila družbeno nesprejemljiva (odklon od prave vere, boga)</w:t>
      </w:r>
    </w:p>
    <w:p w:rsidR="009F4368" w:rsidRDefault="009F4368" w:rsidP="009F4368">
      <w:pPr>
        <w:pStyle w:val="NoSpacing"/>
        <w:numPr>
          <w:ilvl w:val="0"/>
          <w:numId w:val="17"/>
        </w:numPr>
      </w:pPr>
      <w:r>
        <w:t>versko-družbena gibanja v 12. in 13. stoletju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>zagovarjali enakost vseh verujočih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 xml:space="preserve">na podlagi enakosti so zahtevali ureditev krščanske družbe 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>cerkev jih je razglašala za krivoverce (herezije)</w:t>
      </w:r>
    </w:p>
    <w:p w:rsidR="009F4368" w:rsidRDefault="009F4368" w:rsidP="009F4368">
      <w:pPr>
        <w:pStyle w:val="NoSpacing"/>
        <w:numPr>
          <w:ilvl w:val="1"/>
          <w:numId w:val="17"/>
        </w:numPr>
      </w:pPr>
      <w:r>
        <w:t xml:space="preserve">tisti, ki »se vojskujejo« so jih morali zatreti (v imenu boga) </w:t>
      </w:r>
    </w:p>
    <w:p w:rsidR="009F4368" w:rsidRDefault="009F4368" w:rsidP="009F4368">
      <w:pPr>
        <w:pStyle w:val="NoSpacing"/>
      </w:pPr>
    </w:p>
    <w:p w:rsidR="009F4368" w:rsidRDefault="009F4368" w:rsidP="009F4368">
      <w:pPr>
        <w:pStyle w:val="NoSpacing"/>
      </w:pPr>
    </w:p>
    <w:p w:rsidR="009F4368" w:rsidRDefault="009F4368" w:rsidP="009F4368">
      <w:pPr>
        <w:pStyle w:val="NoSpacing"/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Vzpostavitev stanovske monarhije</w:t>
      </w:r>
    </w:p>
    <w:p w:rsidR="009F4368" w:rsidRDefault="009F4368" w:rsidP="009F4368">
      <w:pPr>
        <w:pStyle w:val="NoSpacing"/>
      </w:pPr>
      <w:r>
        <w:t xml:space="preserve">= ustalitev (fevdalne) stanovske monarhije kot oblike vladanja 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>vodil jo je vladar (kot najvišji iz plemstva)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>naloga vladarja: braniti ureditev, kot naj bi jo zapovedoval bog</w:t>
      </w:r>
    </w:p>
    <w:p w:rsidR="009F4368" w:rsidRDefault="009F4368" w:rsidP="009F4368">
      <w:pPr>
        <w:pStyle w:val="NoSpacing"/>
        <w:numPr>
          <w:ilvl w:val="1"/>
          <w:numId w:val="19"/>
        </w:numPr>
      </w:pPr>
      <w:r>
        <w:t xml:space="preserve">tudi naloga plemstva (vladarjevi vazali) 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 xml:space="preserve">na zemljiških posestvih naj bi plemstvo izvajalo oblast </w:t>
      </w:r>
    </w:p>
    <w:p w:rsidR="009F4368" w:rsidRDefault="009F4368" w:rsidP="009F4368">
      <w:pPr>
        <w:pStyle w:val="NoSpacing"/>
        <w:numPr>
          <w:ilvl w:val="1"/>
          <w:numId w:val="19"/>
        </w:numPr>
      </w:pPr>
      <w:r>
        <w:t xml:space="preserve">temeljna gospodarska organizacijska enota, sodno-upravna enota (sodna oblast) 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 xml:space="preserve">izvrševanje oblasti ob pomoči duhovščine </w:t>
      </w:r>
    </w:p>
    <w:p w:rsidR="009F4368" w:rsidRDefault="009F4368" w:rsidP="009F4368">
      <w:pPr>
        <w:pStyle w:val="NoSpacing"/>
        <w:numPr>
          <w:ilvl w:val="1"/>
          <w:numId w:val="19"/>
        </w:numPr>
      </w:pPr>
      <w:r>
        <w:t>škofi (+ druga visoka duhovščina) so bili učitelji, svetovalci vladarjev in visokega plemstva</w:t>
      </w:r>
    </w:p>
    <w:p w:rsidR="009F4368" w:rsidRDefault="009F4368" w:rsidP="009F4368">
      <w:pPr>
        <w:pStyle w:val="NoSpacing"/>
        <w:numPr>
          <w:ilvl w:val="1"/>
          <w:numId w:val="19"/>
        </w:numPr>
      </w:pPr>
      <w:r>
        <w:t xml:space="preserve">imeli zemljiška posestva 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 xml:space="preserve">od 11. do 13. stoletja – širjenje mest  </w:t>
      </w:r>
      <w:r>
        <w:sym w:font="Wingdings" w:char="F0E0"/>
      </w:r>
      <w:r>
        <w:t xml:space="preserve"> sprememba družbene sheme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>pojavijo se meščani (kapitalsko močni, niso dovolili izključitve iz političnega udejstvovanja)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 xml:space="preserve">centralizacija v poznem srednjem veku – vladar vladanje opre na ravnovesje med tremi družbenimi silami </w:t>
      </w:r>
    </w:p>
    <w:p w:rsidR="009F4368" w:rsidRDefault="009F4368" w:rsidP="009F4368">
      <w:pPr>
        <w:pStyle w:val="NoSpacing"/>
        <w:numPr>
          <w:ilvl w:val="0"/>
          <w:numId w:val="19"/>
        </w:numPr>
      </w:pPr>
      <w:r>
        <w:t>plemstvu in duhovščini se je pri političnem odločanju pridružil še tretji stan –meščani (le zgornji sloji meščanstva, ne vse neplemenito prebivalstvo!)</w:t>
      </w:r>
    </w:p>
    <w:p w:rsidR="009F4368" w:rsidRDefault="009F4368" w:rsidP="009F4368">
      <w:pPr>
        <w:pStyle w:val="NoSpacing"/>
      </w:pPr>
    </w:p>
    <w:p w:rsidR="009F4368" w:rsidRDefault="009F4368" w:rsidP="009F4368">
      <w:pPr>
        <w:pStyle w:val="NoSpacing"/>
      </w:pPr>
    </w:p>
    <w:p w:rsidR="009F4368" w:rsidRPr="003628A9" w:rsidRDefault="009F4368" w:rsidP="009F4368">
      <w:pPr>
        <w:pStyle w:val="NoSpacing"/>
        <w:rPr>
          <w:sz w:val="28"/>
          <w:szCs w:val="28"/>
          <w:u w:val="single"/>
        </w:rPr>
      </w:pPr>
      <w:r w:rsidRPr="003628A9">
        <w:rPr>
          <w:sz w:val="28"/>
          <w:szCs w:val="28"/>
          <w:u w:val="single"/>
        </w:rPr>
        <w:t>STANOVSKA MONARHIJA: RIMSKO-NEMŠKO CESARSTVO</w:t>
      </w:r>
    </w:p>
    <w:p w:rsidR="009F4368" w:rsidRPr="00947F23" w:rsidRDefault="009F4368" w:rsidP="009F4368">
      <w:pPr>
        <w:pStyle w:val="NoSpacing"/>
        <w:rPr>
          <w:sz w:val="18"/>
          <w:szCs w:val="18"/>
        </w:rPr>
      </w:pPr>
      <w:r w:rsidRPr="00947F23">
        <w:rPr>
          <w:sz w:val="18"/>
          <w:szCs w:val="18"/>
        </w:rPr>
        <w:t>Razvoj nemškega kraljestva</w:t>
      </w:r>
    </w:p>
    <w:p w:rsidR="009F4368" w:rsidRPr="00947F23" w:rsidRDefault="009F4368" w:rsidP="009F4368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947F23">
        <w:rPr>
          <w:sz w:val="18"/>
          <w:szCs w:val="18"/>
        </w:rPr>
        <w:t>911 izumrejo vzhodnofrankovski Karolingi</w:t>
      </w:r>
    </w:p>
    <w:p w:rsidR="009F4368" w:rsidRPr="00947F23" w:rsidRDefault="009F4368" w:rsidP="009F4368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947F23">
        <w:rPr>
          <w:sz w:val="18"/>
          <w:szCs w:val="18"/>
        </w:rPr>
        <w:t>za kralja izvoljen eden tamkajšnjih knezov – država se je začela razvijati kot nemško kraljestvo</w:t>
      </w:r>
    </w:p>
    <w:p w:rsidR="009F4368" w:rsidRPr="00947F23" w:rsidRDefault="009F4368" w:rsidP="009F4368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947F23">
        <w:rPr>
          <w:sz w:val="18"/>
          <w:szCs w:val="18"/>
        </w:rPr>
        <w:t>kraljeva oblast je bila šibka</w:t>
      </w:r>
    </w:p>
    <w:p w:rsidR="009F4368" w:rsidRDefault="009F4368" w:rsidP="009F4368">
      <w:pPr>
        <w:pStyle w:val="NoSpacing"/>
        <w:numPr>
          <w:ilvl w:val="0"/>
          <w:numId w:val="20"/>
        </w:numPr>
        <w:rPr>
          <w:sz w:val="18"/>
          <w:szCs w:val="18"/>
        </w:rPr>
      </w:pPr>
      <w:r w:rsidRPr="00947F23">
        <w:rPr>
          <w:sz w:val="18"/>
          <w:szCs w:val="18"/>
        </w:rPr>
        <w:t>politična moč je bila skoncentrirana v rokah vojvod, grofov, škofov</w:t>
      </w:r>
    </w:p>
    <w:p w:rsidR="009F4368" w:rsidRDefault="009F4368" w:rsidP="009F4368">
      <w:pPr>
        <w:pStyle w:val="NoSpacing"/>
        <w:rPr>
          <w:sz w:val="18"/>
          <w:szCs w:val="18"/>
        </w:rPr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Otonska dinastija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lastRenderedPageBreak/>
        <w:t>nemški prestol sredi 10. stoletja zasede nova dinastij: saška = otonska dinastija (trije vplivni Otoni)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 xml:space="preserve">utrjevanje kraljeve oblasti 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obvladovanje upornih vojvod, zatrtje vstaje Slovanov na vzhodnih mejah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bitka na Leškem polju (955)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 xml:space="preserve"> kralj Oton I. porazi Madžare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njegov ugled se močno poveča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zagospodari še v S Italiji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962 ga papež okrona za cesarja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nemški kralj postane vladar »svetega rimskega cesarstva«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obseg Rimsko-nemškega cesarstva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vse dežele pod Otonovo oblastjo (ne le nemško cesarstvo)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 xml:space="preserve">središče: Rim 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nemške dežele imele prevladujočo vlogo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Oton I. je potrdil papeške posesti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 xml:space="preserve">zagotovil si je pravico soodločanja pri volitvah papežev 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z dinastično rodbinsko politiko j poskrbel za priznanje svojega položaj v celotnem krščanskem svetu (tudi Bizancu)</w:t>
      </w:r>
    </w:p>
    <w:p w:rsidR="009F4368" w:rsidRDefault="009F4368" w:rsidP="009F4368">
      <w:pPr>
        <w:pStyle w:val="NoSpacing"/>
        <w:numPr>
          <w:ilvl w:val="0"/>
          <w:numId w:val="21"/>
        </w:numPr>
      </w:pPr>
      <w:r>
        <w:t>načrti cesarjev otonske dinastije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obnova rimskega cesarstva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 xml:space="preserve">cesar in papež bi sodelovala za blagor krščanskega sveta 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>cesarstvo dojemali kot »sveto rimsko cesarstvo« - obsegalo bi naj vsa krščanska ljudstva (kot v časih Konstantina Velikega)</w:t>
      </w:r>
    </w:p>
    <w:p w:rsidR="009F4368" w:rsidRDefault="009F4368" w:rsidP="009F4368">
      <w:pPr>
        <w:pStyle w:val="NoSpacing"/>
        <w:numPr>
          <w:ilvl w:val="1"/>
          <w:numId w:val="21"/>
        </w:numPr>
      </w:pPr>
      <w:r>
        <w:t xml:space="preserve">namen ni uspel </w:t>
      </w:r>
      <w:r>
        <w:sym w:font="Wingdings" w:char="F0E0"/>
      </w:r>
      <w:r>
        <w:t xml:space="preserve"> Oton III. umre brez potomcev </w:t>
      </w:r>
    </w:p>
    <w:p w:rsidR="009F4368" w:rsidRDefault="009F4368" w:rsidP="009F4368">
      <w:pPr>
        <w:pStyle w:val="NoSpacing"/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Moč vladarjev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 xml:space="preserve">otonska dinastija </w:t>
      </w:r>
      <w:r>
        <w:sym w:font="Wingdings" w:char="F0E0"/>
      </w:r>
      <w:r>
        <w:t xml:space="preserve"> salijska dinastija </w:t>
      </w:r>
      <w:r>
        <w:sym w:font="Wingdings" w:char="F0E0"/>
      </w:r>
      <w:r>
        <w:t xml:space="preserve"> staufovska dinastija 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najznamenitejši vladar: Friderik I. Barbarossa (1155 – 1190)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zavzemal za državni mir, trdno cesarsko oblast nad severnoitalijanskimi, lombardskimi mesti, nadzor nad papeži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 xml:space="preserve">lombardska zveza –bran samostojnosti mest, uperjena proti cesarju 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 xml:space="preserve">vodil 3. križarski pohod (utonil) 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 xml:space="preserve">sin Henrik VI., njegov sin Friderik II. </w:t>
      </w:r>
    </w:p>
    <w:p w:rsidR="009F4368" w:rsidRDefault="009F4368" w:rsidP="009F4368">
      <w:pPr>
        <w:pStyle w:val="NoSpacing"/>
      </w:pPr>
    </w:p>
    <w:p w:rsidR="009F4368" w:rsidRPr="006179F9" w:rsidRDefault="009F4368" w:rsidP="009F4368">
      <w:pPr>
        <w:pStyle w:val="NoSpacing"/>
        <w:rPr>
          <w:b/>
          <w:color w:val="808080"/>
        </w:rPr>
      </w:pPr>
      <w:r w:rsidRPr="006179F9">
        <w:rPr>
          <w:b/>
          <w:color w:val="808080"/>
        </w:rPr>
        <w:t>Brezvladje pripelje Habsburžane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1954 izumre staufovska dinastija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vloga knezov: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imeli pravico voliti vladarja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 xml:space="preserve">velika moč v državi, oblastniki na svojem ozemlju 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niso želeli močnega vladarja –zato ga sploh ne izvolijo</w:t>
      </w:r>
    </w:p>
    <w:p w:rsidR="009F4368" w:rsidRDefault="009F4368" w:rsidP="009F4368">
      <w:pPr>
        <w:pStyle w:val="NoSpacing"/>
      </w:pPr>
      <w:r>
        <w:t xml:space="preserve">Obdobje interegnuma (1254 – 1273) 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 xml:space="preserve">Rimsko-nemško cesarstvo zaide v brezvladje (2 desetletji)  = obdobje interegnuma 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1273 izvolijo Rudolfa Habsburškega (knezi želeli obdržati vpliv nad državo -  Habsburžani bi naj bili nepomembni fevdalci)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sprevidel, da je cesarsko oblast nemogoče obnoviti (za to manjkala dva pogoja: dednost oblasti in bogata mesta, ki bi povezovala mesto, podpirala vladarja)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želel povečati posesti svoje družine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1278: zmaga nad češkim kraljem Otokarjem II. Premislom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Habsburžani uspejo utrditi vladarsko oblast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težišče državne politike Rimsko-nemškega cesarstva se prenese v nemške dežele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lastRenderedPageBreak/>
        <w:t xml:space="preserve">v Italiji se ne zavzemajo za trdno oblast </w:t>
      </w:r>
      <w:r>
        <w:sym w:font="Wingdings" w:char="F0E0"/>
      </w:r>
      <w:r>
        <w:t xml:space="preserve"> severnoitalijanska mesta se začnejo osamosvajati 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 xml:space="preserve">novo poimenovanje Rimsko-nemškega cesarstva </w:t>
      </w:r>
      <w:r>
        <w:sym w:font="Wingdings" w:char="F0E0"/>
      </w:r>
      <w:r>
        <w:t xml:space="preserve"> Sveto rimsko cesarstvo nemške narodnosti </w:t>
      </w:r>
    </w:p>
    <w:p w:rsidR="009F4368" w:rsidRDefault="009F4368" w:rsidP="009F4368">
      <w:pPr>
        <w:pStyle w:val="NoSpacing"/>
        <w:numPr>
          <w:ilvl w:val="0"/>
          <w:numId w:val="22"/>
        </w:numPr>
      </w:pPr>
      <w:r>
        <w:t>po smrti Rudolfa Habsburškega so nemški knezi za cesarja volili fevdalce iz različnih rodbin</w:t>
      </w:r>
    </w:p>
    <w:p w:rsidR="009F4368" w:rsidRPr="006179F9" w:rsidRDefault="009F4368" w:rsidP="009F4368">
      <w:pPr>
        <w:pStyle w:val="NoSpacing"/>
        <w:numPr>
          <w:ilvl w:val="0"/>
          <w:numId w:val="22"/>
        </w:numPr>
        <w:rPr>
          <w:color w:val="000000"/>
        </w:rPr>
      </w:pPr>
      <w:r w:rsidRPr="006179F9">
        <w:rPr>
          <w:color w:val="000000"/>
        </w:rPr>
        <w:t>cesar Karel – zlata bula (1356)</w:t>
      </w:r>
    </w:p>
    <w:p w:rsidR="009F4368" w:rsidRDefault="009F4368" w:rsidP="009F4368">
      <w:pPr>
        <w:pStyle w:val="NoSpacing"/>
        <w:numPr>
          <w:ilvl w:val="1"/>
          <w:numId w:val="22"/>
        </w:numPr>
      </w:pPr>
      <w:r>
        <w:t>cesarja voli kolegij 7 najmočnejših knezov</w:t>
      </w:r>
    </w:p>
    <w:p w:rsidR="00EF29C9" w:rsidRPr="009F4368" w:rsidRDefault="009F4368" w:rsidP="009F4368">
      <w:pPr>
        <w:pStyle w:val="NoSpacing"/>
        <w:numPr>
          <w:ilvl w:val="1"/>
          <w:numId w:val="22"/>
        </w:numPr>
      </w:pPr>
      <w:r>
        <w:t xml:space="preserve">vsi deželni knezi, veliki vazali, predstavniki cesarskih mest </w:t>
      </w:r>
      <w:r>
        <w:sym w:font="Wingdings" w:char="F0E0"/>
      </w:r>
      <w:r>
        <w:t xml:space="preserve"> člani državnega zbora (ni imel velike oblasti)</w:t>
      </w:r>
    </w:p>
    <w:sectPr w:rsidR="00EF29C9" w:rsidRPr="009F4368" w:rsidSect="00BC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CF"/>
    <w:multiLevelType w:val="hybridMultilevel"/>
    <w:tmpl w:val="A476E5B4"/>
    <w:lvl w:ilvl="0" w:tplc="BA78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CD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8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D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2F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86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CA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E66792"/>
    <w:multiLevelType w:val="hybridMultilevel"/>
    <w:tmpl w:val="A9581D8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769"/>
    <w:multiLevelType w:val="hybridMultilevel"/>
    <w:tmpl w:val="A9FEFE9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4DF"/>
    <w:multiLevelType w:val="hybridMultilevel"/>
    <w:tmpl w:val="16C87F8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EA1"/>
    <w:multiLevelType w:val="hybridMultilevel"/>
    <w:tmpl w:val="BA46C94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CD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8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D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2F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86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CA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8B4546"/>
    <w:multiLevelType w:val="hybridMultilevel"/>
    <w:tmpl w:val="8F8A0A7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774"/>
    <w:multiLevelType w:val="hybridMultilevel"/>
    <w:tmpl w:val="089ED9A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73C3"/>
    <w:multiLevelType w:val="hybridMultilevel"/>
    <w:tmpl w:val="B17C7FE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A43471"/>
    <w:multiLevelType w:val="hybridMultilevel"/>
    <w:tmpl w:val="0EF6313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BC8"/>
    <w:multiLevelType w:val="hybridMultilevel"/>
    <w:tmpl w:val="1BDE686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C53"/>
    <w:multiLevelType w:val="hybridMultilevel"/>
    <w:tmpl w:val="AA14739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11D9"/>
    <w:multiLevelType w:val="hybridMultilevel"/>
    <w:tmpl w:val="753E5A9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7C4"/>
    <w:multiLevelType w:val="hybridMultilevel"/>
    <w:tmpl w:val="4EAC8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4A3F"/>
    <w:multiLevelType w:val="hybridMultilevel"/>
    <w:tmpl w:val="D9A8937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26465"/>
    <w:multiLevelType w:val="hybridMultilevel"/>
    <w:tmpl w:val="0A06E1A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C86"/>
    <w:multiLevelType w:val="hybridMultilevel"/>
    <w:tmpl w:val="6A2A497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9FC"/>
    <w:multiLevelType w:val="hybridMultilevel"/>
    <w:tmpl w:val="5EB8205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210E4FE">
      <w:start w:val="569"/>
      <w:numFmt w:val="bullet"/>
      <w:lvlText w:val=""/>
      <w:lvlJc w:val="left"/>
      <w:pPr>
        <w:ind w:left="2160" w:hanging="360"/>
      </w:pPr>
      <w:rPr>
        <w:rFonts w:ascii="Wingdings 2" w:hAnsi="Wingdings 2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05F1"/>
    <w:multiLevelType w:val="hybridMultilevel"/>
    <w:tmpl w:val="508EEDA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5D6"/>
    <w:multiLevelType w:val="hybridMultilevel"/>
    <w:tmpl w:val="E142488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6C37"/>
    <w:multiLevelType w:val="hybridMultilevel"/>
    <w:tmpl w:val="FE26937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210E4FE">
      <w:start w:val="5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0A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85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6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A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48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84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D7F2D1E"/>
    <w:multiLevelType w:val="hybridMultilevel"/>
    <w:tmpl w:val="14E4C66A"/>
    <w:lvl w:ilvl="0" w:tplc="90BA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0C3"/>
    <w:multiLevelType w:val="hybridMultilevel"/>
    <w:tmpl w:val="AF5A8BE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3463"/>
    <w:multiLevelType w:val="hybridMultilevel"/>
    <w:tmpl w:val="E056E06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45D"/>
    <w:multiLevelType w:val="hybridMultilevel"/>
    <w:tmpl w:val="7A38471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0"/>
  </w:num>
  <w:num w:numId="11">
    <w:abstractNumId w:val="12"/>
  </w:num>
  <w:num w:numId="12">
    <w:abstractNumId w:val="23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17"/>
  </w:num>
  <w:num w:numId="22">
    <w:abstractNumId w:val="18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3CF"/>
    <w:rsid w:val="0002637B"/>
    <w:rsid w:val="001B4F1C"/>
    <w:rsid w:val="002C5C4B"/>
    <w:rsid w:val="003628A9"/>
    <w:rsid w:val="004C00CD"/>
    <w:rsid w:val="005B2D1E"/>
    <w:rsid w:val="005E7B5C"/>
    <w:rsid w:val="006179F9"/>
    <w:rsid w:val="00624D23"/>
    <w:rsid w:val="006514B5"/>
    <w:rsid w:val="00670585"/>
    <w:rsid w:val="00715BBA"/>
    <w:rsid w:val="00716151"/>
    <w:rsid w:val="007A6566"/>
    <w:rsid w:val="007D5008"/>
    <w:rsid w:val="00891880"/>
    <w:rsid w:val="00947F23"/>
    <w:rsid w:val="00962A8F"/>
    <w:rsid w:val="00962F16"/>
    <w:rsid w:val="009F4368"/>
    <w:rsid w:val="009F73F9"/>
    <w:rsid w:val="00A0277E"/>
    <w:rsid w:val="00A323B8"/>
    <w:rsid w:val="00B03D66"/>
    <w:rsid w:val="00B933CF"/>
    <w:rsid w:val="00BC3D0B"/>
    <w:rsid w:val="00C669E7"/>
    <w:rsid w:val="00E0173E"/>
    <w:rsid w:val="00E20A8A"/>
    <w:rsid w:val="00EF29C9"/>
    <w:rsid w:val="00F04289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65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861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58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26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8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3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8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4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2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